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690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484CB70" w14:textId="77777777" w:rsidTr="005F7F7E">
        <w:tc>
          <w:tcPr>
            <w:tcW w:w="2438" w:type="dxa"/>
            <w:shd w:val="clear" w:color="auto" w:fill="auto"/>
          </w:tcPr>
          <w:p w14:paraId="19EFBE3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D60C57B" w14:textId="77777777" w:rsidR="00F445B1" w:rsidRPr="00F95BC9" w:rsidRDefault="00DB7AD7" w:rsidP="004A6D2F">
            <w:pPr>
              <w:rPr>
                <w:rStyle w:val="Firstpagetablebold"/>
              </w:rPr>
            </w:pPr>
            <w:r>
              <w:rPr>
                <w:rStyle w:val="Firstpagetablebold"/>
              </w:rPr>
              <w:t>Cabinet</w:t>
            </w:r>
          </w:p>
        </w:tc>
      </w:tr>
      <w:tr w:rsidR="00CE544A" w:rsidRPr="00975B07" w14:paraId="7C1D4518" w14:textId="77777777" w:rsidTr="005F7F7E">
        <w:tc>
          <w:tcPr>
            <w:tcW w:w="2438" w:type="dxa"/>
            <w:shd w:val="clear" w:color="auto" w:fill="auto"/>
          </w:tcPr>
          <w:p w14:paraId="157D53A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3FF81A5" w14:textId="68DAB6FA" w:rsidR="00F445B1" w:rsidRPr="001356F1" w:rsidRDefault="00C1104C" w:rsidP="00581852">
            <w:pPr>
              <w:rPr>
                <w:b/>
              </w:rPr>
            </w:pPr>
            <w:r>
              <w:rPr>
                <w:rStyle w:val="Firstpagetablebold"/>
              </w:rPr>
              <w:t>13 July 2022</w:t>
            </w:r>
          </w:p>
        </w:tc>
      </w:tr>
      <w:tr w:rsidR="00CE544A" w:rsidRPr="00975B07" w14:paraId="14ECE92B" w14:textId="77777777" w:rsidTr="005F7F7E">
        <w:tc>
          <w:tcPr>
            <w:tcW w:w="2438" w:type="dxa"/>
            <w:shd w:val="clear" w:color="auto" w:fill="auto"/>
          </w:tcPr>
          <w:p w14:paraId="09F0A5B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0129BB9" w14:textId="77777777" w:rsidR="00F445B1" w:rsidRPr="001356F1" w:rsidRDefault="00AD2025" w:rsidP="00AD2025">
            <w:pPr>
              <w:rPr>
                <w:rStyle w:val="Firstpagetablebold"/>
              </w:rPr>
            </w:pPr>
            <w:r w:rsidRPr="00AD2025">
              <w:rPr>
                <w:rStyle w:val="Firstpagetablebold"/>
              </w:rPr>
              <w:t>Head of Corporate Strategy</w:t>
            </w:r>
          </w:p>
        </w:tc>
      </w:tr>
      <w:tr w:rsidR="00CE544A" w:rsidRPr="00975B07" w14:paraId="45299CE1" w14:textId="77777777" w:rsidTr="005F7F7E">
        <w:tc>
          <w:tcPr>
            <w:tcW w:w="2438" w:type="dxa"/>
            <w:shd w:val="clear" w:color="auto" w:fill="auto"/>
          </w:tcPr>
          <w:p w14:paraId="5FB9CBE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5CFEFA6" w14:textId="21406681" w:rsidR="00F445B1" w:rsidRPr="001356F1" w:rsidRDefault="00043088" w:rsidP="00043088">
            <w:pPr>
              <w:rPr>
                <w:rStyle w:val="Firstpagetablebold"/>
              </w:rPr>
            </w:pPr>
            <w:r>
              <w:rPr>
                <w:rStyle w:val="Firstpagetablebold"/>
              </w:rPr>
              <w:t>Oxford</w:t>
            </w:r>
            <w:r w:rsidR="00AD2025">
              <w:rPr>
                <w:rStyle w:val="Firstpagetablebold"/>
              </w:rPr>
              <w:t xml:space="preserve"> E</w:t>
            </w:r>
            <w:r w:rsidR="00FA22DB">
              <w:rPr>
                <w:rStyle w:val="Firstpagetablebold"/>
              </w:rPr>
              <w:t xml:space="preserve">lectric </w:t>
            </w:r>
            <w:r w:rsidR="00AD2025">
              <w:rPr>
                <w:rStyle w:val="Firstpagetablebold"/>
              </w:rPr>
              <w:t>V</w:t>
            </w:r>
            <w:r w:rsidR="00FA22DB">
              <w:rPr>
                <w:rStyle w:val="Firstpagetablebold"/>
              </w:rPr>
              <w:t>ehicle</w:t>
            </w:r>
            <w:r w:rsidR="00AD2025">
              <w:rPr>
                <w:rStyle w:val="Firstpagetablebold"/>
              </w:rPr>
              <w:t xml:space="preserve"> Infrastructure </w:t>
            </w:r>
            <w:r w:rsidR="00FA22DB">
              <w:rPr>
                <w:rStyle w:val="Firstpagetablebold"/>
              </w:rPr>
              <w:t>Strategy</w:t>
            </w:r>
          </w:p>
        </w:tc>
      </w:tr>
    </w:tbl>
    <w:p w14:paraId="68743B0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585"/>
      </w:tblGrid>
      <w:tr w:rsidR="00D5547E" w14:paraId="5AA119CB" w14:textId="77777777" w:rsidTr="00C1104C">
        <w:tc>
          <w:tcPr>
            <w:tcW w:w="9023" w:type="dxa"/>
            <w:gridSpan w:val="2"/>
            <w:tcBorders>
              <w:bottom w:val="single" w:sz="8" w:space="0" w:color="000000"/>
            </w:tcBorders>
            <w:hideMark/>
          </w:tcPr>
          <w:p w14:paraId="4E096CD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F34C447" w14:textId="77777777" w:rsidTr="00C1104C">
        <w:tc>
          <w:tcPr>
            <w:tcW w:w="2438" w:type="dxa"/>
            <w:tcBorders>
              <w:top w:val="single" w:sz="8" w:space="0" w:color="000000"/>
              <w:left w:val="single" w:sz="8" w:space="0" w:color="000000"/>
              <w:bottom w:val="nil"/>
              <w:right w:val="nil"/>
            </w:tcBorders>
            <w:hideMark/>
          </w:tcPr>
          <w:p w14:paraId="71676898" w14:textId="77777777" w:rsidR="00D5547E" w:rsidRDefault="00D5547E">
            <w:pPr>
              <w:rPr>
                <w:rStyle w:val="Firstpagetablebold"/>
              </w:rPr>
            </w:pPr>
            <w:r>
              <w:rPr>
                <w:rStyle w:val="Firstpagetablebold"/>
              </w:rPr>
              <w:t>Purpose of report:</w:t>
            </w:r>
          </w:p>
        </w:tc>
        <w:tc>
          <w:tcPr>
            <w:tcW w:w="6585" w:type="dxa"/>
            <w:tcBorders>
              <w:top w:val="single" w:sz="8" w:space="0" w:color="000000"/>
              <w:left w:val="nil"/>
              <w:bottom w:val="nil"/>
              <w:right w:val="single" w:sz="8" w:space="0" w:color="000000"/>
            </w:tcBorders>
            <w:hideMark/>
          </w:tcPr>
          <w:p w14:paraId="272485FB" w14:textId="406F962F" w:rsidR="00D5547E" w:rsidRPr="001356F1" w:rsidRDefault="00B57806" w:rsidP="003E3E09">
            <w:r>
              <w:t xml:space="preserve">To </w:t>
            </w:r>
            <w:r w:rsidR="003E3E09">
              <w:t>approve the Oxford City</w:t>
            </w:r>
            <w:r w:rsidR="00C155C9">
              <w:t xml:space="preserve"> Electric Vehicle</w:t>
            </w:r>
            <w:r w:rsidR="00470837">
              <w:t xml:space="preserve"> Infrastructure </w:t>
            </w:r>
            <w:r w:rsidR="003E3E09">
              <w:t xml:space="preserve">Strategy which sets out the Council’s approach to ensuring a robust, quality and equitable deployment of charging </w:t>
            </w:r>
            <w:r w:rsidR="00A06C2E">
              <w:t>infrastructure across</w:t>
            </w:r>
            <w:r w:rsidR="003E3E09">
              <w:t xml:space="preserve"> the city</w:t>
            </w:r>
            <w:r w:rsidR="00111827">
              <w:t xml:space="preserve">. </w:t>
            </w:r>
          </w:p>
        </w:tc>
      </w:tr>
      <w:tr w:rsidR="00D5547E" w14:paraId="4E842994" w14:textId="77777777" w:rsidTr="00C1104C">
        <w:tc>
          <w:tcPr>
            <w:tcW w:w="2438" w:type="dxa"/>
            <w:tcBorders>
              <w:top w:val="nil"/>
              <w:left w:val="single" w:sz="8" w:space="0" w:color="000000"/>
              <w:bottom w:val="nil"/>
              <w:right w:val="nil"/>
            </w:tcBorders>
            <w:hideMark/>
          </w:tcPr>
          <w:p w14:paraId="665AA651" w14:textId="77777777" w:rsidR="00D5547E" w:rsidRPr="009C4D2E" w:rsidRDefault="00D5547E">
            <w:pPr>
              <w:rPr>
                <w:rStyle w:val="Firstpagetablebold"/>
              </w:rPr>
            </w:pPr>
            <w:r w:rsidRPr="009C4D2E">
              <w:rPr>
                <w:rStyle w:val="Firstpagetablebold"/>
              </w:rPr>
              <w:t>Key decision:</w:t>
            </w:r>
          </w:p>
        </w:tc>
        <w:tc>
          <w:tcPr>
            <w:tcW w:w="6585" w:type="dxa"/>
            <w:tcBorders>
              <w:top w:val="nil"/>
              <w:left w:val="nil"/>
              <w:bottom w:val="nil"/>
              <w:right w:val="single" w:sz="8" w:space="0" w:color="000000"/>
            </w:tcBorders>
            <w:hideMark/>
          </w:tcPr>
          <w:p w14:paraId="3EAB590D" w14:textId="77777777" w:rsidR="00D5547E" w:rsidRPr="009C4D2E" w:rsidRDefault="00D5547E" w:rsidP="002A3251">
            <w:r w:rsidRPr="009F0F75">
              <w:t>Yes</w:t>
            </w:r>
          </w:p>
        </w:tc>
      </w:tr>
      <w:tr w:rsidR="00D5547E" w14:paraId="638FE91B" w14:textId="77777777" w:rsidTr="00C1104C">
        <w:tc>
          <w:tcPr>
            <w:tcW w:w="2438" w:type="dxa"/>
            <w:tcBorders>
              <w:top w:val="nil"/>
              <w:left w:val="single" w:sz="8" w:space="0" w:color="000000"/>
              <w:bottom w:val="nil"/>
              <w:right w:val="nil"/>
            </w:tcBorders>
            <w:hideMark/>
          </w:tcPr>
          <w:p w14:paraId="3F3BF526"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585" w:type="dxa"/>
            <w:tcBorders>
              <w:top w:val="nil"/>
              <w:left w:val="nil"/>
              <w:bottom w:val="nil"/>
              <w:right w:val="single" w:sz="8" w:space="0" w:color="000000"/>
            </w:tcBorders>
            <w:hideMark/>
          </w:tcPr>
          <w:p w14:paraId="29AA96BF" w14:textId="77777777" w:rsidR="00D5547E" w:rsidRDefault="00D5547E" w:rsidP="002F08C6">
            <w:pPr>
              <w:spacing w:after="0"/>
            </w:pPr>
            <w:r w:rsidRPr="002D0C32">
              <w:t xml:space="preserve">Councillor </w:t>
            </w:r>
            <w:r w:rsidR="00A06C2E">
              <w:t>Louise Upton, Cabinet Member for Health and Transport</w:t>
            </w:r>
          </w:p>
          <w:p w14:paraId="7A38793C" w14:textId="5A23E724" w:rsidR="00C1104C" w:rsidRPr="001356F1" w:rsidRDefault="00C1104C" w:rsidP="004A7CA5">
            <w:pPr>
              <w:spacing w:after="0"/>
            </w:pPr>
          </w:p>
        </w:tc>
      </w:tr>
      <w:tr w:rsidR="0080749A" w14:paraId="1BFA43BA" w14:textId="77777777" w:rsidTr="00C1104C">
        <w:tc>
          <w:tcPr>
            <w:tcW w:w="2438" w:type="dxa"/>
            <w:tcBorders>
              <w:top w:val="nil"/>
              <w:left w:val="single" w:sz="8" w:space="0" w:color="000000"/>
              <w:bottom w:val="nil"/>
              <w:right w:val="nil"/>
            </w:tcBorders>
          </w:tcPr>
          <w:p w14:paraId="22EEA9D2" w14:textId="492FB1FB" w:rsidR="0080749A" w:rsidRDefault="0080749A">
            <w:pPr>
              <w:rPr>
                <w:rStyle w:val="Firstpagetablebold"/>
              </w:rPr>
            </w:pPr>
            <w:r>
              <w:rPr>
                <w:rStyle w:val="Firstpagetablebold"/>
              </w:rPr>
              <w:t>Corporate Priority:</w:t>
            </w:r>
          </w:p>
        </w:tc>
        <w:tc>
          <w:tcPr>
            <w:tcW w:w="6585" w:type="dxa"/>
            <w:tcBorders>
              <w:top w:val="nil"/>
              <w:left w:val="nil"/>
              <w:bottom w:val="nil"/>
              <w:right w:val="single" w:sz="8" w:space="0" w:color="000000"/>
            </w:tcBorders>
          </w:tcPr>
          <w:p w14:paraId="38F59E2D" w14:textId="77777777" w:rsidR="002A3251" w:rsidRPr="002D0C32" w:rsidRDefault="002A3251" w:rsidP="00C26A32">
            <w:pPr>
              <w:numPr>
                <w:ilvl w:val="0"/>
                <w:numId w:val="6"/>
              </w:numPr>
              <w:shd w:val="clear" w:color="auto" w:fill="FFFFFF"/>
              <w:spacing w:before="100" w:beforeAutospacing="1" w:after="100" w:afterAutospacing="1"/>
              <w:rPr>
                <w:rFonts w:ascii="Helvetica" w:hAnsi="Helvetica" w:cs="Helvetica"/>
                <w:color w:val="auto"/>
              </w:rPr>
            </w:pPr>
            <w:r w:rsidRPr="002D0C32">
              <w:rPr>
                <w:rFonts w:ascii="Helvetica" w:hAnsi="Helvetica" w:cs="Helvetica"/>
                <w:color w:val="auto"/>
              </w:rPr>
              <w:t>Pursue a zero carbon Oxford</w:t>
            </w:r>
          </w:p>
          <w:p w14:paraId="41C209BA" w14:textId="77777777" w:rsidR="002A3251" w:rsidRPr="002D0C32" w:rsidRDefault="002A3251" w:rsidP="00C26A32">
            <w:pPr>
              <w:numPr>
                <w:ilvl w:val="0"/>
                <w:numId w:val="6"/>
              </w:numPr>
              <w:shd w:val="clear" w:color="auto" w:fill="FFFFFF"/>
              <w:spacing w:before="100" w:beforeAutospacing="1" w:after="100" w:afterAutospacing="1"/>
              <w:rPr>
                <w:rFonts w:ascii="Helvetica" w:hAnsi="Helvetica" w:cs="Helvetica"/>
                <w:color w:val="auto"/>
              </w:rPr>
            </w:pPr>
            <w:r w:rsidRPr="002D0C32">
              <w:rPr>
                <w:rFonts w:ascii="Helvetica" w:hAnsi="Helvetica" w:cs="Helvetica"/>
                <w:color w:val="auto"/>
              </w:rPr>
              <w:t>Enable an inclusive economy</w:t>
            </w:r>
          </w:p>
          <w:p w14:paraId="4BFBF531" w14:textId="77777777" w:rsidR="0080749A" w:rsidRPr="002A3251" w:rsidRDefault="002A3251" w:rsidP="00C26A32">
            <w:pPr>
              <w:numPr>
                <w:ilvl w:val="0"/>
                <w:numId w:val="6"/>
              </w:numPr>
              <w:shd w:val="clear" w:color="auto" w:fill="FFFFFF"/>
              <w:spacing w:before="100" w:beforeAutospacing="1" w:after="100" w:afterAutospacing="1"/>
              <w:rPr>
                <w:rFonts w:ascii="Helvetica" w:hAnsi="Helvetica" w:cs="Helvetica"/>
                <w:color w:val="37474F"/>
              </w:rPr>
            </w:pPr>
            <w:r w:rsidRPr="002D0C32">
              <w:rPr>
                <w:rFonts w:ascii="Helvetica" w:hAnsi="Helvetica" w:cs="Helvetica"/>
                <w:color w:val="auto"/>
              </w:rPr>
              <w:t>Support thriving communities</w:t>
            </w:r>
          </w:p>
        </w:tc>
      </w:tr>
      <w:tr w:rsidR="00D5547E" w14:paraId="36C3C71C" w14:textId="77777777" w:rsidTr="00C1104C">
        <w:tc>
          <w:tcPr>
            <w:tcW w:w="2438" w:type="dxa"/>
            <w:tcBorders>
              <w:top w:val="nil"/>
              <w:left w:val="single" w:sz="8" w:space="0" w:color="000000"/>
              <w:bottom w:val="single" w:sz="4" w:space="0" w:color="auto"/>
              <w:right w:val="nil"/>
            </w:tcBorders>
            <w:hideMark/>
          </w:tcPr>
          <w:p w14:paraId="6B04F1C3" w14:textId="77777777" w:rsidR="00D5547E" w:rsidRDefault="00D5547E">
            <w:pPr>
              <w:rPr>
                <w:rStyle w:val="Firstpagetablebold"/>
              </w:rPr>
            </w:pPr>
            <w:r>
              <w:rPr>
                <w:rStyle w:val="Firstpagetablebold"/>
              </w:rPr>
              <w:t>Policy Framework:</w:t>
            </w:r>
          </w:p>
        </w:tc>
        <w:tc>
          <w:tcPr>
            <w:tcW w:w="6585" w:type="dxa"/>
            <w:tcBorders>
              <w:top w:val="nil"/>
              <w:left w:val="nil"/>
              <w:bottom w:val="single" w:sz="4" w:space="0" w:color="auto"/>
              <w:right w:val="single" w:sz="8" w:space="0" w:color="000000"/>
            </w:tcBorders>
            <w:hideMark/>
          </w:tcPr>
          <w:p w14:paraId="37BBB2B6" w14:textId="45CBB7A9" w:rsidR="00D5547E" w:rsidRPr="001356F1" w:rsidRDefault="007123CD" w:rsidP="00C1104C">
            <w:r>
              <w:t>Council Strategy 2020-24</w:t>
            </w:r>
            <w:r w:rsidR="006A50D9">
              <w:t xml:space="preserve">, </w:t>
            </w:r>
            <w:r w:rsidR="002A3251" w:rsidRPr="006A50D9">
              <w:t>Local Plan</w:t>
            </w:r>
            <w:r w:rsidR="006A50D9">
              <w:t xml:space="preserve"> 2016-2036</w:t>
            </w:r>
          </w:p>
        </w:tc>
      </w:tr>
    </w:tbl>
    <w:p w14:paraId="0FBA5298"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5"/>
        <w:gridCol w:w="8608"/>
      </w:tblGrid>
      <w:tr w:rsidR="0097170F" w:rsidRPr="00975B07" w14:paraId="5162ADAE" w14:textId="77777777" w:rsidTr="00FA22DB">
        <w:trPr>
          <w:trHeight w:val="408"/>
        </w:trPr>
        <w:tc>
          <w:tcPr>
            <w:tcW w:w="9043" w:type="dxa"/>
            <w:gridSpan w:val="2"/>
            <w:tcBorders>
              <w:bottom w:val="single" w:sz="8" w:space="0" w:color="000000"/>
            </w:tcBorders>
          </w:tcPr>
          <w:p w14:paraId="79FF4764" w14:textId="371FB6FF" w:rsidR="0097170F" w:rsidRPr="00975B07" w:rsidRDefault="00C1104C" w:rsidP="00D52ECD">
            <w:r>
              <w:rPr>
                <w:rStyle w:val="Firstpagetablebold"/>
              </w:rPr>
              <w:t>Recommendations</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14:paraId="5D174ED4" w14:textId="77777777" w:rsidTr="00FA22DB">
        <w:trPr>
          <w:trHeight w:val="279"/>
        </w:trPr>
        <w:tc>
          <w:tcPr>
            <w:tcW w:w="435" w:type="dxa"/>
            <w:tcBorders>
              <w:top w:val="single" w:sz="8" w:space="0" w:color="000000"/>
              <w:left w:val="single" w:sz="8" w:space="0" w:color="000000"/>
              <w:bottom w:val="single" w:sz="8" w:space="0" w:color="000000"/>
              <w:right w:val="nil"/>
            </w:tcBorders>
          </w:tcPr>
          <w:p w14:paraId="51ADCAD8" w14:textId="77777777" w:rsidR="0097170F" w:rsidRPr="00975B07" w:rsidRDefault="0097170F" w:rsidP="00D52ECD">
            <w:r w:rsidRPr="00975B07">
              <w:t>1.</w:t>
            </w:r>
          </w:p>
        </w:tc>
        <w:tc>
          <w:tcPr>
            <w:tcW w:w="8608" w:type="dxa"/>
            <w:tcBorders>
              <w:top w:val="single" w:sz="8" w:space="0" w:color="000000"/>
              <w:left w:val="nil"/>
              <w:bottom w:val="single" w:sz="8" w:space="0" w:color="000000"/>
              <w:right w:val="single" w:sz="8" w:space="0" w:color="000000"/>
            </w:tcBorders>
            <w:shd w:val="clear" w:color="auto" w:fill="auto"/>
          </w:tcPr>
          <w:p w14:paraId="134BAA1F" w14:textId="0A1F0BDB" w:rsidR="0099043E" w:rsidRDefault="00043088" w:rsidP="0025178F">
            <w:pPr>
              <w:spacing w:after="0"/>
            </w:pPr>
            <w:r>
              <w:rPr>
                <w:rStyle w:val="Firstpagetablebold"/>
              </w:rPr>
              <w:t xml:space="preserve">Approve </w:t>
            </w:r>
            <w:r w:rsidRPr="006747C4">
              <w:rPr>
                <w:rStyle w:val="Firstpagetablebold"/>
                <w:b w:val="0"/>
              </w:rPr>
              <w:t xml:space="preserve">the </w:t>
            </w:r>
            <w:r w:rsidR="00370DA0">
              <w:rPr>
                <w:rStyle w:val="Firstpagetablebold"/>
                <w:b w:val="0"/>
              </w:rPr>
              <w:t xml:space="preserve">draft </w:t>
            </w:r>
            <w:r w:rsidR="00C1104C">
              <w:rPr>
                <w:rStyle w:val="Firstpagetablebold"/>
                <w:b w:val="0"/>
              </w:rPr>
              <w:t xml:space="preserve">Electric Vehicle Infrastructure </w:t>
            </w:r>
            <w:r w:rsidRPr="006747C4">
              <w:rPr>
                <w:rStyle w:val="Firstpagetablebold"/>
                <w:b w:val="0"/>
              </w:rPr>
              <w:t>Strategy as set out in Appendix 1</w:t>
            </w:r>
            <w:r w:rsidR="000C539F">
              <w:t>, confirming the principles for future decisi</w:t>
            </w:r>
            <w:r w:rsidR="00C1104C">
              <w:t>on making within this strategy and d</w:t>
            </w:r>
            <w:r w:rsidR="00370DA0">
              <w:t>elegate authority to the Head of Corporate Strategy in consultation with the Cabinet Member for Health and Transport</w:t>
            </w:r>
            <w:r w:rsidR="00B868EA">
              <w:t xml:space="preserve"> </w:t>
            </w:r>
            <w:r w:rsidR="00370DA0">
              <w:t xml:space="preserve">to make </w:t>
            </w:r>
            <w:r w:rsidR="00370DA0" w:rsidRPr="00AA06C8">
              <w:rPr>
                <w:rStyle w:val="Firstpagetablebold"/>
                <w:b w:val="0"/>
              </w:rPr>
              <w:t xml:space="preserve">further minor amendments to the draft </w:t>
            </w:r>
            <w:r w:rsidR="00370DA0">
              <w:rPr>
                <w:rStyle w:val="Firstpagetablebold"/>
                <w:b w:val="0"/>
              </w:rPr>
              <w:t>Strategy</w:t>
            </w:r>
            <w:r w:rsidR="00370DA0" w:rsidRPr="00AA06C8">
              <w:rPr>
                <w:rStyle w:val="Firstpagetablebold"/>
                <w:b w:val="0"/>
              </w:rPr>
              <w:t xml:space="preserve"> </w:t>
            </w:r>
            <w:r w:rsidR="00E64F9E">
              <w:rPr>
                <w:rStyle w:val="Firstpagetablebold"/>
                <w:b w:val="0"/>
              </w:rPr>
              <w:t>prior to its adoption</w:t>
            </w:r>
            <w:r w:rsidR="00370DA0" w:rsidRPr="001356F1">
              <w:t>;</w:t>
            </w:r>
          </w:p>
          <w:p w14:paraId="58CA1F15" w14:textId="77777777" w:rsidR="0099043E" w:rsidRPr="001356F1" w:rsidRDefault="0099043E" w:rsidP="0025178F">
            <w:pPr>
              <w:spacing w:after="0"/>
            </w:pPr>
          </w:p>
        </w:tc>
      </w:tr>
      <w:tr w:rsidR="00C1104C" w:rsidRPr="00975B07" w14:paraId="3E833A10" w14:textId="77777777" w:rsidTr="00FA22DB">
        <w:trPr>
          <w:trHeight w:val="279"/>
        </w:trPr>
        <w:tc>
          <w:tcPr>
            <w:tcW w:w="435" w:type="dxa"/>
            <w:tcBorders>
              <w:top w:val="single" w:sz="8" w:space="0" w:color="000000"/>
              <w:left w:val="single" w:sz="8" w:space="0" w:color="000000"/>
              <w:bottom w:val="single" w:sz="8" w:space="0" w:color="000000"/>
              <w:right w:val="nil"/>
            </w:tcBorders>
          </w:tcPr>
          <w:p w14:paraId="095E8B88" w14:textId="4B57570C" w:rsidR="00C1104C" w:rsidRDefault="00C1104C" w:rsidP="00D52ECD">
            <w:r>
              <w:t>2.</w:t>
            </w:r>
          </w:p>
        </w:tc>
        <w:tc>
          <w:tcPr>
            <w:tcW w:w="8608" w:type="dxa"/>
            <w:tcBorders>
              <w:top w:val="single" w:sz="8" w:space="0" w:color="000000"/>
              <w:left w:val="nil"/>
              <w:bottom w:val="single" w:sz="8" w:space="0" w:color="000000"/>
              <w:right w:val="single" w:sz="8" w:space="0" w:color="000000"/>
            </w:tcBorders>
            <w:shd w:val="clear" w:color="auto" w:fill="auto"/>
          </w:tcPr>
          <w:p w14:paraId="0B1BA485" w14:textId="3B75AA8B" w:rsidR="00C1104C" w:rsidRDefault="00C1104C" w:rsidP="00CD7CA6">
            <w:pPr>
              <w:rPr>
                <w:rStyle w:val="Firstpagetablebold"/>
              </w:rPr>
            </w:pPr>
            <w:r>
              <w:rPr>
                <w:rStyle w:val="Firstpagetablebold"/>
              </w:rPr>
              <w:t xml:space="preserve">Note </w:t>
            </w:r>
            <w:r>
              <w:rPr>
                <w:rStyle w:val="Firstpagetablebold"/>
                <w:b w:val="0"/>
              </w:rPr>
              <w:t xml:space="preserve">that </w:t>
            </w:r>
            <w:r w:rsidRPr="000C539F">
              <w:rPr>
                <w:rStyle w:val="Firstpagetablebold"/>
                <w:b w:val="0"/>
              </w:rPr>
              <w:t>a</w:t>
            </w:r>
            <w:r w:rsidRPr="006747C4">
              <w:rPr>
                <w:rStyle w:val="Firstpagetablebold"/>
                <w:b w:val="0"/>
              </w:rPr>
              <w:t>n Implementation Plan will follow</w:t>
            </w:r>
            <w:r>
              <w:rPr>
                <w:rStyle w:val="Firstpagetablebold"/>
                <w:b w:val="0"/>
              </w:rPr>
              <w:t xml:space="preserve"> for Cabinet approval in Autumn 2022; and</w:t>
            </w:r>
          </w:p>
        </w:tc>
      </w:tr>
      <w:tr w:rsidR="002F53E7" w:rsidRPr="00975B07" w14:paraId="5CA6F966" w14:textId="77777777" w:rsidTr="002D0C32">
        <w:trPr>
          <w:trHeight w:val="279"/>
        </w:trPr>
        <w:tc>
          <w:tcPr>
            <w:tcW w:w="435" w:type="dxa"/>
            <w:tcBorders>
              <w:top w:val="nil"/>
              <w:left w:val="single" w:sz="8" w:space="0" w:color="000000"/>
              <w:bottom w:val="single" w:sz="8" w:space="0" w:color="000000"/>
              <w:right w:val="nil"/>
            </w:tcBorders>
          </w:tcPr>
          <w:p w14:paraId="623811ED" w14:textId="7D1C08DD" w:rsidR="00E64F9E" w:rsidRPr="00975B07" w:rsidRDefault="00E64F9E" w:rsidP="00D52ECD">
            <w:r>
              <w:t>3.</w:t>
            </w:r>
          </w:p>
        </w:tc>
        <w:tc>
          <w:tcPr>
            <w:tcW w:w="8608" w:type="dxa"/>
            <w:tcBorders>
              <w:top w:val="nil"/>
              <w:left w:val="nil"/>
              <w:bottom w:val="single" w:sz="8" w:space="0" w:color="000000"/>
              <w:right w:val="single" w:sz="8" w:space="0" w:color="000000"/>
            </w:tcBorders>
            <w:shd w:val="clear" w:color="auto" w:fill="auto"/>
          </w:tcPr>
          <w:p w14:paraId="1C14950E" w14:textId="374A663A" w:rsidR="0099043E" w:rsidRPr="009C44A1" w:rsidRDefault="00E64F9E" w:rsidP="00487048">
            <w:pPr>
              <w:textAlignment w:val="baseline"/>
              <w:rPr>
                <w:rStyle w:val="Firstpagetablebold"/>
                <w:rFonts w:cs="Arial"/>
                <w:b w:val="0"/>
              </w:rPr>
            </w:pPr>
            <w:r w:rsidRPr="006A0987">
              <w:rPr>
                <w:b/>
              </w:rPr>
              <w:t>A</w:t>
            </w:r>
            <w:r>
              <w:rPr>
                <w:b/>
              </w:rPr>
              <w:t>dopt</w:t>
            </w:r>
            <w:r>
              <w:t xml:space="preserve"> the Oxfordshire Electric Vehi</w:t>
            </w:r>
            <w:r w:rsidR="00C1104C">
              <w:t>cle Infrastructure Strategy which</w:t>
            </w:r>
            <w:r>
              <w:t xml:space="preserve"> links </w:t>
            </w:r>
            <w:r w:rsidR="00F15B27">
              <w:t xml:space="preserve">in a complementary way </w:t>
            </w:r>
            <w:r>
              <w:t>with the</w:t>
            </w:r>
            <w:r>
              <w:rPr>
                <w:rFonts w:cs="Arial"/>
              </w:rPr>
              <w:t xml:space="preserve"> Oxford </w:t>
            </w:r>
            <w:r w:rsidR="00F15B27">
              <w:rPr>
                <w:rFonts w:cs="Arial"/>
              </w:rPr>
              <w:t>c</w:t>
            </w:r>
            <w:r>
              <w:rPr>
                <w:rFonts w:cs="Arial"/>
              </w:rPr>
              <w:t xml:space="preserve">ity specific policies and actions set out in the </w:t>
            </w:r>
            <w:r w:rsidR="00F15B27">
              <w:rPr>
                <w:rFonts w:cs="Arial"/>
              </w:rPr>
              <w:t>Electric Vehicle Charging Infrastructure Strategy</w:t>
            </w:r>
            <w:r>
              <w:rPr>
                <w:rFonts w:cs="Arial"/>
              </w:rPr>
              <w:t>.</w:t>
            </w:r>
          </w:p>
        </w:tc>
      </w:tr>
    </w:tbl>
    <w:p w14:paraId="702DBDA9" w14:textId="31EE5DAD" w:rsidR="006A5902" w:rsidRDefault="006A5902" w:rsidP="004A6D2F"/>
    <w:p w14:paraId="208C8B7E" w14:textId="77777777" w:rsidR="006A5902" w:rsidRDefault="006A5902">
      <w:pPr>
        <w:spacing w:after="0"/>
      </w:pPr>
      <w:r>
        <w:br w:type="page"/>
      </w:r>
    </w:p>
    <w:p w14:paraId="1D67CB48" w14:textId="77777777" w:rsidR="00BB10F1" w:rsidRPr="009E51FC" w:rsidRDefault="00BB10F1"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684"/>
      </w:tblGrid>
      <w:tr w:rsidR="00966D42" w:rsidRPr="00975B07" w14:paraId="7F761DB5" w14:textId="77777777" w:rsidTr="00512DE8">
        <w:trPr>
          <w:trHeight w:val="483"/>
        </w:trPr>
        <w:tc>
          <w:tcPr>
            <w:tcW w:w="9101" w:type="dxa"/>
            <w:gridSpan w:val="2"/>
            <w:shd w:val="clear" w:color="auto" w:fill="auto"/>
          </w:tcPr>
          <w:p w14:paraId="25D1DF74" w14:textId="77777777" w:rsidR="00966D42" w:rsidRPr="00975B07" w:rsidRDefault="00966D42" w:rsidP="00263EA3">
            <w:pPr>
              <w:jc w:val="center"/>
            </w:pPr>
            <w:r w:rsidRPr="00745BF0">
              <w:rPr>
                <w:rStyle w:val="Firstpagetablebold"/>
              </w:rPr>
              <w:t>Appendices</w:t>
            </w:r>
          </w:p>
        </w:tc>
      </w:tr>
      <w:tr w:rsidR="00ED5860" w:rsidRPr="00975B07" w14:paraId="6AA15482" w14:textId="77777777" w:rsidTr="00512DE8">
        <w:trPr>
          <w:trHeight w:val="1995"/>
        </w:trPr>
        <w:tc>
          <w:tcPr>
            <w:tcW w:w="0" w:type="auto"/>
            <w:shd w:val="clear" w:color="auto" w:fill="auto"/>
          </w:tcPr>
          <w:p w14:paraId="715EAE46" w14:textId="77777777" w:rsidR="00043088" w:rsidRDefault="0030208D" w:rsidP="002F08C6">
            <w:pPr>
              <w:spacing w:after="0"/>
            </w:pPr>
            <w:r w:rsidRPr="00975B07">
              <w:t xml:space="preserve">Appendix </w:t>
            </w:r>
            <w:r w:rsidR="002D0C32">
              <w:t>1</w:t>
            </w:r>
          </w:p>
          <w:p w14:paraId="46239982" w14:textId="77777777" w:rsidR="00F46E38" w:rsidRDefault="00F46E38" w:rsidP="002F08C6">
            <w:pPr>
              <w:spacing w:after="0"/>
            </w:pPr>
          </w:p>
          <w:p w14:paraId="293C344B" w14:textId="77777777" w:rsidR="009F0F75" w:rsidRDefault="009F0F75" w:rsidP="002F08C6">
            <w:pPr>
              <w:spacing w:after="0"/>
            </w:pPr>
            <w:r>
              <w:t>Appendix 2</w:t>
            </w:r>
          </w:p>
          <w:p w14:paraId="05AEE270" w14:textId="77777777" w:rsidR="002F08C6" w:rsidRDefault="002F08C6" w:rsidP="002F08C6">
            <w:pPr>
              <w:spacing w:after="0"/>
            </w:pPr>
          </w:p>
          <w:p w14:paraId="7A7E0823" w14:textId="77777777" w:rsidR="002F08C6" w:rsidRDefault="002F08C6" w:rsidP="002F08C6">
            <w:pPr>
              <w:spacing w:after="0"/>
            </w:pPr>
            <w:r>
              <w:t>Appendix 3</w:t>
            </w:r>
          </w:p>
          <w:p w14:paraId="500B1B01" w14:textId="77777777" w:rsidR="002974DE" w:rsidRDefault="002974DE" w:rsidP="002F08C6">
            <w:pPr>
              <w:spacing w:after="0"/>
            </w:pPr>
          </w:p>
          <w:p w14:paraId="21319737" w14:textId="1DAB0D22" w:rsidR="002974DE" w:rsidRPr="00975B07" w:rsidRDefault="002974DE" w:rsidP="00F46E38">
            <w:pPr>
              <w:spacing w:after="0"/>
            </w:pPr>
            <w:r>
              <w:t xml:space="preserve">Appendix </w:t>
            </w:r>
            <w:r w:rsidR="00F46E38">
              <w:t>4</w:t>
            </w:r>
          </w:p>
        </w:tc>
        <w:tc>
          <w:tcPr>
            <w:tcW w:w="7684" w:type="dxa"/>
          </w:tcPr>
          <w:p w14:paraId="0682D91F" w14:textId="45AE3E6F" w:rsidR="00043088" w:rsidRDefault="00043088" w:rsidP="002F08C6">
            <w:pPr>
              <w:spacing w:after="0"/>
            </w:pPr>
            <w:r>
              <w:t>Oxfor</w:t>
            </w:r>
            <w:r w:rsidR="00C155C9">
              <w:t>d City Electric Vehicle</w:t>
            </w:r>
            <w:r>
              <w:t xml:space="preserve"> Infrastructure Strategy </w:t>
            </w:r>
            <w:r w:rsidR="00F46E38">
              <w:t>(</w:t>
            </w:r>
            <w:proofErr w:type="spellStart"/>
            <w:r w:rsidR="00F46E38">
              <w:t>OxEVIS</w:t>
            </w:r>
            <w:proofErr w:type="spellEnd"/>
            <w:r w:rsidR="00F46E38">
              <w:t>)</w:t>
            </w:r>
          </w:p>
          <w:p w14:paraId="0A66A26F" w14:textId="77777777" w:rsidR="00C155C9" w:rsidRDefault="00C155C9" w:rsidP="002F08C6">
            <w:pPr>
              <w:spacing w:after="0"/>
            </w:pPr>
          </w:p>
          <w:p w14:paraId="24405D43" w14:textId="77777777" w:rsidR="009F0F75" w:rsidRDefault="00043088" w:rsidP="002F08C6">
            <w:pPr>
              <w:spacing w:after="0"/>
            </w:pPr>
            <w:r>
              <w:t>Risk Register</w:t>
            </w:r>
          </w:p>
          <w:p w14:paraId="54469427" w14:textId="77777777" w:rsidR="002F08C6" w:rsidRDefault="002F08C6" w:rsidP="002F08C6">
            <w:pPr>
              <w:spacing w:after="0"/>
            </w:pPr>
          </w:p>
          <w:p w14:paraId="3311DDE2" w14:textId="77777777" w:rsidR="002F08C6" w:rsidRDefault="002F08C6" w:rsidP="002F08C6">
            <w:pPr>
              <w:spacing w:after="0"/>
            </w:pPr>
            <w:r>
              <w:t>Equalities Impact Assessment</w:t>
            </w:r>
          </w:p>
          <w:p w14:paraId="4F7A0270" w14:textId="77777777" w:rsidR="002974DE" w:rsidRDefault="002974DE" w:rsidP="002F08C6">
            <w:pPr>
              <w:spacing w:after="0"/>
            </w:pPr>
          </w:p>
          <w:p w14:paraId="32AE7A94" w14:textId="70EB353F" w:rsidR="002974DE" w:rsidRPr="001356F1" w:rsidRDefault="002974DE" w:rsidP="002F08C6">
            <w:pPr>
              <w:spacing w:after="0"/>
            </w:pPr>
            <w:r>
              <w:t>Oxford</w:t>
            </w:r>
            <w:r w:rsidR="00C155C9">
              <w:t xml:space="preserve">shire Electric Vehicle </w:t>
            </w:r>
            <w:r>
              <w:t>Infrastructure Strategy</w:t>
            </w:r>
            <w:r w:rsidR="00F46E38">
              <w:t xml:space="preserve"> (OEVIS)</w:t>
            </w:r>
          </w:p>
        </w:tc>
      </w:tr>
    </w:tbl>
    <w:p w14:paraId="4A33E9C6" w14:textId="77777777" w:rsidR="00A06C2E" w:rsidRDefault="00A06C2E" w:rsidP="004A6D2F">
      <w:pPr>
        <w:pStyle w:val="Heading1"/>
      </w:pPr>
    </w:p>
    <w:p w14:paraId="449C3602" w14:textId="77777777" w:rsidR="0094196A" w:rsidRDefault="00F66DCA" w:rsidP="0025178F">
      <w:pPr>
        <w:pStyle w:val="Heading1"/>
      </w:pPr>
      <w:r w:rsidRPr="001356F1">
        <w:t>Introduction and b</w:t>
      </w:r>
      <w:r w:rsidR="00151888" w:rsidRPr="001356F1">
        <w:t>ackground</w:t>
      </w:r>
      <w:r w:rsidR="00404032" w:rsidRPr="001356F1">
        <w:t xml:space="preserve"> </w:t>
      </w:r>
    </w:p>
    <w:p w14:paraId="37D0C5D7" w14:textId="77777777" w:rsidR="008678EB" w:rsidRDefault="00043088" w:rsidP="009722F3">
      <w:pPr>
        <w:pStyle w:val="bParagraphtext"/>
        <w:numPr>
          <w:ilvl w:val="0"/>
          <w:numId w:val="20"/>
        </w:numPr>
        <w:ind w:left="426" w:hanging="426"/>
        <w:jc w:val="both"/>
      </w:pPr>
      <w:r>
        <w:t>Oxford City Council has set out a road map and action plan</w:t>
      </w:r>
      <w:r w:rsidR="00334844">
        <w:t xml:space="preserve"> to</w:t>
      </w:r>
      <w:r>
        <w:t xml:space="preserve"> </w:t>
      </w:r>
      <w:r w:rsidR="00AA4E1F">
        <w:t xml:space="preserve">become a net zero Council by 2030 and </w:t>
      </w:r>
      <w:r>
        <w:t xml:space="preserve">with the Zero Carbon Oxford Partnership (ZCOP), compiled of the city’s largest institutions and employers, to reach a target of net zero carbon emissions for Oxford by 2040 or earlier. </w:t>
      </w:r>
    </w:p>
    <w:p w14:paraId="5F429E26" w14:textId="355DC2AA" w:rsidR="008678EB" w:rsidRDefault="00043088" w:rsidP="009722F3">
      <w:pPr>
        <w:pStyle w:val="bParagraphtext"/>
        <w:numPr>
          <w:ilvl w:val="0"/>
          <w:numId w:val="20"/>
        </w:numPr>
        <w:ind w:left="426" w:hanging="426"/>
        <w:jc w:val="both"/>
      </w:pPr>
      <w:r>
        <w:t>Transport is the second largest contributor to Oxford’s emissions, accounting for 171 ktCO2e (2018), with private cars bei</w:t>
      </w:r>
      <w:r w:rsidR="00AA4E1F">
        <w:t>ng the main source of emissions. Transport</w:t>
      </w:r>
      <w:r>
        <w:t xml:space="preserve"> also contributes 40.47% of NO2 pollution in Oxford and is therefore a significant area to be addressed </w:t>
      </w:r>
      <w:r w:rsidR="00AA4E1F">
        <w:t xml:space="preserve">to </w:t>
      </w:r>
      <w:r>
        <w:t>meet these targets.</w:t>
      </w:r>
    </w:p>
    <w:p w14:paraId="19B9F7DE" w14:textId="77777777" w:rsidR="000D00D2" w:rsidRDefault="00043088" w:rsidP="009722F3">
      <w:pPr>
        <w:pStyle w:val="bParagraphtext"/>
        <w:numPr>
          <w:ilvl w:val="0"/>
          <w:numId w:val="20"/>
        </w:numPr>
        <w:ind w:left="426" w:hanging="426"/>
        <w:jc w:val="both"/>
      </w:pPr>
      <w:r>
        <w:t xml:space="preserve">Oxford City Council and Oxfordshire County Council have introduced a </w:t>
      </w:r>
      <w:r w:rsidR="008678EB">
        <w:t xml:space="preserve">city centre </w:t>
      </w:r>
      <w:r>
        <w:t>Pilot Zero Emissions Zone (ZEZ) to address air pollution and help to reach this target. These measures, combined with the Council’s Local Plan 2040, will further stimulate demand for EVs, which will help to reduce transport emissions and improve air quality and support the 2040 zero carbon target.</w:t>
      </w:r>
    </w:p>
    <w:p w14:paraId="0E66ADE2" w14:textId="41E6987F" w:rsidR="001253D9" w:rsidRDefault="001253D9" w:rsidP="001253D9">
      <w:pPr>
        <w:pStyle w:val="bParagraphtext"/>
        <w:numPr>
          <w:ilvl w:val="0"/>
          <w:numId w:val="20"/>
        </w:numPr>
        <w:ind w:left="426" w:hanging="426"/>
        <w:jc w:val="both"/>
      </w:pPr>
      <w:r>
        <w:t>On 21</w:t>
      </w:r>
      <w:r w:rsidRPr="009722F3">
        <w:rPr>
          <w:vertAlign w:val="superscript"/>
        </w:rPr>
        <w:t>st</w:t>
      </w:r>
      <w:r>
        <w:t xml:space="preserve"> July 2021, </w:t>
      </w:r>
      <w:r w:rsidR="00E64F9E">
        <w:t>Oxford City Council’s C</w:t>
      </w:r>
      <w:r>
        <w:t xml:space="preserve">abinet approved the commissioning of an EV strategy, to set out a strategic framework for the delivery of EV Infrastructure in line with </w:t>
      </w:r>
      <w:r w:rsidR="007A6EAD">
        <w:t>it</w:t>
      </w:r>
      <w:r>
        <w:t xml:space="preserve">s 2040 net zero carbon target. </w:t>
      </w:r>
    </w:p>
    <w:p w14:paraId="14296D5A" w14:textId="7E8179C7" w:rsidR="001253D9" w:rsidRDefault="001253D9" w:rsidP="001253D9">
      <w:pPr>
        <w:pStyle w:val="bParagraphtext"/>
        <w:numPr>
          <w:ilvl w:val="0"/>
          <w:numId w:val="20"/>
        </w:numPr>
        <w:ind w:left="426" w:hanging="426"/>
        <w:jc w:val="both"/>
      </w:pPr>
      <w:r>
        <w:t xml:space="preserve">The full strategy has been drafted over the last year, </w:t>
      </w:r>
      <w:r w:rsidR="00203AF2">
        <w:t>covering</w:t>
      </w:r>
      <w:r>
        <w:t xml:space="preserve"> extensive internal and external stakeholder engagement, data collection and analysis of what infrastructure is needed to support Oxford and its residents</w:t>
      </w:r>
      <w:r w:rsidR="00822A7F">
        <w:t>’</w:t>
      </w:r>
      <w:r>
        <w:t xml:space="preserve"> needs, alongside a thorough assessment and alignment with local and national </w:t>
      </w:r>
      <w:r w:rsidR="004639E5">
        <w:t>decarbonisation</w:t>
      </w:r>
      <w:r w:rsidR="00203AF2">
        <w:t xml:space="preserve"> and</w:t>
      </w:r>
      <w:r>
        <w:t xml:space="preserve"> transport policies</w:t>
      </w:r>
      <w:r w:rsidR="00FF31B4">
        <w:t>.</w:t>
      </w:r>
      <w:r>
        <w:t xml:space="preserve"> </w:t>
      </w:r>
    </w:p>
    <w:p w14:paraId="1454DCA8" w14:textId="0C8E41D0" w:rsidR="008678EB" w:rsidRDefault="001253D9" w:rsidP="001253D9">
      <w:pPr>
        <w:pStyle w:val="bParagraphtext"/>
        <w:numPr>
          <w:ilvl w:val="0"/>
          <w:numId w:val="20"/>
        </w:numPr>
        <w:ind w:left="426" w:hanging="426"/>
        <w:jc w:val="both"/>
      </w:pPr>
      <w:r>
        <w:t xml:space="preserve">This paper requests approval to adopt the </w:t>
      </w:r>
      <w:r w:rsidR="00A45663">
        <w:t xml:space="preserve">Oxford City </w:t>
      </w:r>
      <w:r w:rsidR="00043088">
        <w:t xml:space="preserve">EV </w:t>
      </w:r>
      <w:r w:rsidR="00A45663">
        <w:t>I</w:t>
      </w:r>
      <w:r w:rsidR="00043088">
        <w:t xml:space="preserve">nfrastructure </w:t>
      </w:r>
      <w:r w:rsidR="00A45663">
        <w:t>S</w:t>
      </w:r>
      <w:r w:rsidR="00043088">
        <w:t xml:space="preserve">trategy </w:t>
      </w:r>
      <w:r w:rsidR="00A45663">
        <w:t>(</w:t>
      </w:r>
      <w:proofErr w:type="spellStart"/>
      <w:r w:rsidR="00A45663">
        <w:t>OxEVIS</w:t>
      </w:r>
      <w:proofErr w:type="spellEnd"/>
      <w:r w:rsidR="00A45663">
        <w:t>)</w:t>
      </w:r>
      <w:r>
        <w:t>. Which</w:t>
      </w:r>
      <w:r w:rsidR="00A45663">
        <w:t xml:space="preserve"> </w:t>
      </w:r>
      <w:r w:rsidR="00043088">
        <w:t xml:space="preserve">sets out the </w:t>
      </w:r>
      <w:r w:rsidR="004C570D">
        <w:t xml:space="preserve">Council’s </w:t>
      </w:r>
      <w:r w:rsidR="00043088">
        <w:t>approach to determine the EV charging needs of the city, in a manner that is</w:t>
      </w:r>
      <w:r w:rsidR="00E64F9E">
        <w:t>:</w:t>
      </w:r>
      <w:r w:rsidR="00043088">
        <w:t xml:space="preserve"> fair, </w:t>
      </w:r>
      <w:r w:rsidR="00D8602D">
        <w:t xml:space="preserve">equitable, </w:t>
      </w:r>
      <w:r w:rsidR="00FF31B4">
        <w:t xml:space="preserve">sustainable </w:t>
      </w:r>
      <w:r w:rsidR="00043088">
        <w:t xml:space="preserve">and </w:t>
      </w:r>
      <w:r w:rsidR="004A3B6F">
        <w:t xml:space="preserve">economically </w:t>
      </w:r>
      <w:r w:rsidR="00043088">
        <w:t>attractive. It seeks to create policies that will integrate into key Council-led service areas, to ensure a joined</w:t>
      </w:r>
      <w:r w:rsidR="001C259D">
        <w:t>-up</w:t>
      </w:r>
      <w:r w:rsidR="00043088">
        <w:t xml:space="preserve"> and collaborative approach to providing </w:t>
      </w:r>
      <w:r w:rsidR="001C259D">
        <w:t xml:space="preserve">charging </w:t>
      </w:r>
      <w:r w:rsidR="00043088">
        <w:t>infrastructure</w:t>
      </w:r>
      <w:r w:rsidR="00203AF2">
        <w:t>.</w:t>
      </w:r>
      <w:r w:rsidR="00043088">
        <w:t xml:space="preserve"> </w:t>
      </w:r>
    </w:p>
    <w:p w14:paraId="16A1CD09" w14:textId="77777777" w:rsidR="00306813" w:rsidRPr="000C539F" w:rsidRDefault="00A45663" w:rsidP="006747C4">
      <w:pPr>
        <w:pStyle w:val="bParagraphtext"/>
        <w:numPr>
          <w:ilvl w:val="0"/>
          <w:numId w:val="20"/>
        </w:numPr>
        <w:ind w:left="426" w:hanging="426"/>
        <w:jc w:val="both"/>
      </w:pPr>
      <w:proofErr w:type="spellStart"/>
      <w:r w:rsidRPr="000C539F">
        <w:t>OxEVIS</w:t>
      </w:r>
      <w:proofErr w:type="spellEnd"/>
      <w:r w:rsidR="00603469" w:rsidRPr="000C539F">
        <w:t xml:space="preserve"> will be supported by a</w:t>
      </w:r>
      <w:r w:rsidRPr="000C539F">
        <w:t>n</w:t>
      </w:r>
      <w:r w:rsidR="00603469" w:rsidRPr="000C539F">
        <w:t xml:space="preserve"> </w:t>
      </w:r>
      <w:r w:rsidR="002533A7" w:rsidRPr="000C539F">
        <w:t>I</w:t>
      </w:r>
      <w:r w:rsidR="00603469" w:rsidRPr="000C539F">
        <w:t xml:space="preserve">mplementation </w:t>
      </w:r>
      <w:r w:rsidR="002533A7" w:rsidRPr="000C539F">
        <w:t>P</w:t>
      </w:r>
      <w:r w:rsidR="00603469" w:rsidRPr="000C539F">
        <w:t>lan</w:t>
      </w:r>
      <w:r w:rsidRPr="000C539F">
        <w:t xml:space="preserve">, which will </w:t>
      </w:r>
      <w:r w:rsidR="00FF31B4">
        <w:t xml:space="preserve">be submitted through </w:t>
      </w:r>
      <w:r w:rsidR="000C539F" w:rsidRPr="000C539F">
        <w:t>the Council’s</w:t>
      </w:r>
      <w:r w:rsidR="00A05764">
        <w:t xml:space="preserve"> constitutional</w:t>
      </w:r>
      <w:r w:rsidR="000C539F" w:rsidRPr="000C539F">
        <w:t xml:space="preserve"> </w:t>
      </w:r>
      <w:r w:rsidRPr="000C539F">
        <w:t>governance approval process</w:t>
      </w:r>
      <w:r w:rsidR="00A05764">
        <w:t>es by autumn 2022.</w:t>
      </w:r>
      <w:r w:rsidR="000C539F" w:rsidRPr="000C539F">
        <w:t xml:space="preserve"> </w:t>
      </w:r>
    </w:p>
    <w:p w14:paraId="584387FE" w14:textId="168C851A" w:rsidR="00306813" w:rsidRDefault="00A05764" w:rsidP="00AA375A">
      <w:pPr>
        <w:pStyle w:val="bParagraphtext"/>
        <w:numPr>
          <w:ilvl w:val="0"/>
          <w:numId w:val="20"/>
        </w:numPr>
        <w:ind w:left="426" w:hanging="426"/>
        <w:jc w:val="both"/>
      </w:pPr>
      <w:proofErr w:type="spellStart"/>
      <w:r>
        <w:t>OxEVIS</w:t>
      </w:r>
      <w:proofErr w:type="spellEnd"/>
      <w:r w:rsidRPr="000C539F">
        <w:t xml:space="preserve"> </w:t>
      </w:r>
      <w:r w:rsidR="00946505">
        <w:t xml:space="preserve">is structured to </w:t>
      </w:r>
      <w:r w:rsidR="00150EBE">
        <w:t>complement and realise</w:t>
      </w:r>
      <w:r w:rsidR="00946505">
        <w:t xml:space="preserve"> national as well as local </w:t>
      </w:r>
      <w:r w:rsidR="00946505" w:rsidRPr="000C539F">
        <w:t>transport</w:t>
      </w:r>
      <w:r w:rsidR="00946505">
        <w:t xml:space="preserve"> and planning</w:t>
      </w:r>
      <w:r w:rsidR="00946505" w:rsidRPr="000C539F">
        <w:t xml:space="preserve"> policies</w:t>
      </w:r>
      <w:r w:rsidR="00946505">
        <w:t>, including</w:t>
      </w:r>
      <w:r w:rsidR="00946505" w:rsidRPr="000C539F">
        <w:t xml:space="preserve"> </w:t>
      </w:r>
      <w:r w:rsidR="00603469" w:rsidRPr="000C539F">
        <w:t>the</w:t>
      </w:r>
      <w:r w:rsidR="008678EB" w:rsidRPr="000C539F">
        <w:t xml:space="preserve"> </w:t>
      </w:r>
      <w:r w:rsidR="00603469" w:rsidRPr="000C539F">
        <w:t>Oxfordshire County Council Oxfordshire Electric Vehicle Infrastructure Strategy (OEVIS) published 202</w:t>
      </w:r>
      <w:r w:rsidR="00334441">
        <w:t>1 and</w:t>
      </w:r>
      <w:r w:rsidR="000D347C" w:rsidRPr="000C539F">
        <w:t xml:space="preserve"> </w:t>
      </w:r>
      <w:r w:rsidR="00603469" w:rsidRPr="000C539F">
        <w:t xml:space="preserve">the Government’s recent Electric Vehicle Infrastructure Strategy ‘Taking Charge’ </w:t>
      </w:r>
      <w:r w:rsidR="00A45663" w:rsidRPr="000C539F">
        <w:t>p</w:t>
      </w:r>
      <w:r w:rsidR="00603469" w:rsidRPr="000C539F">
        <w:t xml:space="preserve">ublished </w:t>
      </w:r>
      <w:r w:rsidR="00A45663" w:rsidRPr="000C539F">
        <w:t xml:space="preserve">in </w:t>
      </w:r>
      <w:r w:rsidR="001253D9" w:rsidRPr="000C539F">
        <w:t>March</w:t>
      </w:r>
      <w:r w:rsidR="00603469" w:rsidRPr="000C539F">
        <w:t xml:space="preserve"> 2022</w:t>
      </w:r>
      <w:r w:rsidR="00334441">
        <w:t>. In</w:t>
      </w:r>
      <w:r w:rsidR="00150EBE">
        <w:t xml:space="preserve"> particular, it will implement </w:t>
      </w:r>
      <w:r w:rsidR="00334441">
        <w:t>the</w:t>
      </w:r>
      <w:r w:rsidR="00487048">
        <w:t xml:space="preserve"> </w:t>
      </w:r>
      <w:r w:rsidR="00334441">
        <w:t>hierarchy</w:t>
      </w:r>
      <w:r w:rsidR="00487048">
        <w:t xml:space="preserve"> </w:t>
      </w:r>
      <w:r w:rsidR="00334441">
        <w:t>(implicit in both OEVIS and ‘Taking Charge’) of</w:t>
      </w:r>
      <w:r w:rsidR="00AA375A">
        <w:t xml:space="preserve"> EV charging infrastructure installation</w:t>
      </w:r>
      <w:r w:rsidR="00334441">
        <w:t xml:space="preserve">s that </w:t>
      </w:r>
      <w:r w:rsidR="00150EBE">
        <w:t>seek</w:t>
      </w:r>
      <w:r w:rsidR="00334441">
        <w:t xml:space="preserve"> to keep pavements accessible and minimise negative impacts on active transport options, prioritising off-street</w:t>
      </w:r>
      <w:r w:rsidR="00AA375A">
        <w:t xml:space="preserve"> </w:t>
      </w:r>
      <w:r w:rsidR="00487048">
        <w:t xml:space="preserve">charging </w:t>
      </w:r>
      <w:r w:rsidR="00487048">
        <w:lastRenderedPageBreak/>
        <w:t xml:space="preserve">hubs and </w:t>
      </w:r>
      <w:r w:rsidR="00334441">
        <w:t xml:space="preserve">safe, </w:t>
      </w:r>
      <w:r w:rsidR="009C44A1">
        <w:t xml:space="preserve">GUL-e </w:t>
      </w:r>
      <w:r w:rsidR="00487048">
        <w:t>type</w:t>
      </w:r>
      <w:r w:rsidR="00334441">
        <w:t xml:space="preserve"> pavement crossing</w:t>
      </w:r>
      <w:r w:rsidR="00487048">
        <w:t xml:space="preserve"> </w:t>
      </w:r>
      <w:r w:rsidR="009C44A1">
        <w:t>solution</w:t>
      </w:r>
      <w:r w:rsidR="00487048">
        <w:t>s</w:t>
      </w:r>
      <w:r w:rsidR="00334441">
        <w:t xml:space="preserve"> </w:t>
      </w:r>
      <w:r w:rsidR="00AA375A">
        <w:t>over</w:t>
      </w:r>
      <w:r w:rsidR="002D5F6E">
        <w:t xml:space="preserve"> </w:t>
      </w:r>
      <w:r w:rsidR="00334441">
        <w:t xml:space="preserve">conventional </w:t>
      </w:r>
      <w:r w:rsidR="00AA375A">
        <w:t>on-street EV chargers</w:t>
      </w:r>
      <w:r w:rsidR="00150EBE">
        <w:t xml:space="preserve"> (where feasible)</w:t>
      </w:r>
      <w:r w:rsidR="009C44A1">
        <w:t>.</w:t>
      </w:r>
      <w:r w:rsidR="00487048">
        <w:t xml:space="preserve"> </w:t>
      </w:r>
    </w:p>
    <w:p w14:paraId="13DA5831" w14:textId="0DB254E7" w:rsidR="00946505" w:rsidRDefault="00487048" w:rsidP="00487048">
      <w:pPr>
        <w:pStyle w:val="bParagraphtext"/>
        <w:numPr>
          <w:ilvl w:val="0"/>
          <w:numId w:val="20"/>
        </w:numPr>
        <w:ind w:left="426" w:hanging="426"/>
        <w:jc w:val="both"/>
      </w:pPr>
      <w:r>
        <w:t xml:space="preserve">The GUL-e solution </w:t>
      </w:r>
      <w:r w:rsidR="00B94320">
        <w:t xml:space="preserve">currently being trialled by ODS </w:t>
      </w:r>
      <w:r>
        <w:t xml:space="preserve">provides a number of advantages including; </w:t>
      </w:r>
    </w:p>
    <w:p w14:paraId="636ED742" w14:textId="50A0021E" w:rsidR="00334441" w:rsidRDefault="00487048" w:rsidP="00150EBE">
      <w:pPr>
        <w:pStyle w:val="bParagraphtext"/>
        <w:numPr>
          <w:ilvl w:val="1"/>
          <w:numId w:val="20"/>
        </w:numPr>
        <w:jc w:val="both"/>
      </w:pPr>
      <w:r>
        <w:t xml:space="preserve">a </w:t>
      </w:r>
      <w:r w:rsidR="00946505">
        <w:t>convenient, accessible</w:t>
      </w:r>
      <w:r>
        <w:t xml:space="preserve"> solution</w:t>
      </w:r>
      <w:r w:rsidR="00946505">
        <w:t xml:space="preserve"> with a low Return of Investment </w:t>
      </w:r>
      <w:r>
        <w:t>for those without access to off-street parking</w:t>
      </w:r>
      <w:r w:rsidR="00946505">
        <w:t>, allowing access to the vibrant and innovative home charging market,</w:t>
      </w:r>
      <w:r>
        <w:t xml:space="preserve"> </w:t>
      </w:r>
    </w:p>
    <w:p w14:paraId="607D4615" w14:textId="6E2A56FD" w:rsidR="00946505" w:rsidRDefault="00946505" w:rsidP="00150EBE">
      <w:pPr>
        <w:pStyle w:val="bParagraphtext"/>
        <w:numPr>
          <w:ilvl w:val="1"/>
          <w:numId w:val="20"/>
        </w:numPr>
        <w:jc w:val="both"/>
      </w:pPr>
      <w:r>
        <w:t xml:space="preserve">improved targeting of public EV infrastructure funds for those EV users that cannot rely on home charging as their primary charging, </w:t>
      </w:r>
    </w:p>
    <w:p w14:paraId="4E6EBD31" w14:textId="3D7BAB77" w:rsidR="00334441" w:rsidRDefault="00946505" w:rsidP="00150EBE">
      <w:pPr>
        <w:pStyle w:val="bParagraphtext"/>
        <w:numPr>
          <w:ilvl w:val="1"/>
          <w:numId w:val="20"/>
        </w:numPr>
        <w:jc w:val="both"/>
      </w:pPr>
      <w:r>
        <w:t>utilisation of existing household grid connections, reducing the need for grid reinforcement and enabling smart energy management</w:t>
      </w:r>
      <w:r w:rsidR="00334441">
        <w:t>,</w:t>
      </w:r>
      <w:r>
        <w:t xml:space="preserve"> </w:t>
      </w:r>
    </w:p>
    <w:p w14:paraId="4BF46376" w14:textId="73F1C027" w:rsidR="00334441" w:rsidRDefault="00334441" w:rsidP="00334441">
      <w:pPr>
        <w:pStyle w:val="bParagraphtext"/>
        <w:numPr>
          <w:ilvl w:val="1"/>
          <w:numId w:val="20"/>
        </w:numPr>
        <w:jc w:val="both"/>
      </w:pPr>
      <w:proofErr w:type="gramStart"/>
      <w:r>
        <w:t>a</w:t>
      </w:r>
      <w:proofErr w:type="gramEnd"/>
      <w:r>
        <w:t xml:space="preserve"> revenue opportunity for ODS. </w:t>
      </w:r>
    </w:p>
    <w:p w14:paraId="3733D535" w14:textId="736CD048" w:rsidR="00487048" w:rsidRPr="000C539F" w:rsidRDefault="00487048" w:rsidP="00150EBE">
      <w:pPr>
        <w:pStyle w:val="bParagraphtext"/>
        <w:jc w:val="both"/>
      </w:pPr>
    </w:p>
    <w:p w14:paraId="44ACFC93" w14:textId="66AABE3E" w:rsidR="00F15B27" w:rsidRPr="00F15B27" w:rsidRDefault="00F15B27" w:rsidP="006A5902">
      <w:pPr>
        <w:pStyle w:val="ListParagraph"/>
        <w:numPr>
          <w:ilvl w:val="0"/>
          <w:numId w:val="20"/>
        </w:numPr>
        <w:tabs>
          <w:tab w:val="clear" w:pos="426"/>
          <w:tab w:val="left" w:pos="462"/>
        </w:tabs>
        <w:ind w:left="448" w:hanging="448"/>
        <w:jc w:val="both"/>
        <w:textAlignment w:val="baseline"/>
        <w:rPr>
          <w:rFonts w:cs="Arial"/>
        </w:rPr>
      </w:pPr>
      <w:r w:rsidRPr="5018D2A0">
        <w:rPr>
          <w:rFonts w:cs="Arial"/>
        </w:rPr>
        <w:t xml:space="preserve">Ongoing co-commitments between Oxford City Council and Oxfordshire </w:t>
      </w:r>
      <w:r w:rsidR="004C570D" w:rsidRPr="5018D2A0">
        <w:rPr>
          <w:rFonts w:cs="Arial"/>
        </w:rPr>
        <w:t xml:space="preserve">County </w:t>
      </w:r>
      <w:r w:rsidRPr="5018D2A0">
        <w:rPr>
          <w:rFonts w:cs="Arial"/>
        </w:rPr>
        <w:t>Council are essential to the continuous development of comprehensive regional change in travel habits, and partnership working with the Highways Authority is a pre-requisite for Government funding. It will also enhance the collective opportunities for future projects</w:t>
      </w:r>
      <w:r w:rsidR="00AA375A" w:rsidRPr="5018D2A0">
        <w:rPr>
          <w:rFonts w:cs="Arial"/>
        </w:rPr>
        <w:t xml:space="preserve">. </w:t>
      </w:r>
      <w:r w:rsidRPr="5018D2A0">
        <w:rPr>
          <w:rFonts w:cs="Arial"/>
        </w:rPr>
        <w:t>Therefore, this paper requests approval for the adoption of OEVIS, which forms a strategic umbrella for many of the more detailed Oxford city specific policies and actions set out in the Electric Vehicle Charging Infrastructure Strategy</w:t>
      </w:r>
      <w:r w:rsidR="00C1104C">
        <w:rPr>
          <w:rFonts w:cs="Arial"/>
        </w:rPr>
        <w:t>.</w:t>
      </w:r>
      <w:r w:rsidRPr="5018D2A0">
        <w:rPr>
          <w:rFonts w:cs="Arial"/>
        </w:rPr>
        <w:t xml:space="preserve"> </w:t>
      </w:r>
    </w:p>
    <w:p w14:paraId="31C4FE2E" w14:textId="5CA12A7F" w:rsidR="001253D9" w:rsidRDefault="00306813" w:rsidP="000C539F">
      <w:pPr>
        <w:pStyle w:val="bParagraphtext"/>
        <w:numPr>
          <w:ilvl w:val="0"/>
          <w:numId w:val="20"/>
        </w:numPr>
        <w:ind w:left="426" w:hanging="426"/>
        <w:jc w:val="both"/>
      </w:pPr>
      <w:r w:rsidRPr="000C539F">
        <w:t>The Government’s Strategy confirmed an estimate of between 450,000-700,000 additional charge points will be needed nationally by 2040. It also clearly defined the strategic role</w:t>
      </w:r>
      <w:r w:rsidR="00203AF2" w:rsidRPr="000C539F">
        <w:t xml:space="preserve"> </w:t>
      </w:r>
      <w:r w:rsidRPr="000C539F">
        <w:t>it wants Local Authorities (LA’s) to take in the transition to electric vehicles, with Transport and District Authorities working together. It recognises that whilst commercial companies</w:t>
      </w:r>
      <w:r w:rsidR="00203AF2" w:rsidRPr="000C539F">
        <w:t xml:space="preserve"> will </w:t>
      </w:r>
      <w:r w:rsidRPr="000C539F">
        <w:t xml:space="preserve">provide charging, </w:t>
      </w:r>
      <w:r w:rsidR="00F15B27">
        <w:t>local authorities</w:t>
      </w:r>
      <w:r w:rsidRPr="000C539F">
        <w:t xml:space="preserve"> are best placed to ensure that infrastructure meets the needs of the people they serve</w:t>
      </w:r>
      <w:r w:rsidR="007A6EAD" w:rsidRPr="000C539F">
        <w:t>, addressing fair and equitable distribution</w:t>
      </w:r>
      <w:r w:rsidRPr="000C539F">
        <w:t>, reduc</w:t>
      </w:r>
      <w:r w:rsidR="007A6EAD" w:rsidRPr="000C539F">
        <w:t>ing</w:t>
      </w:r>
      <w:r w:rsidRPr="000C539F">
        <w:t xml:space="preserve"> risks of poorly located</w:t>
      </w:r>
      <w:r w:rsidR="00A05764">
        <w:t xml:space="preserve"> and/or insufficiently </w:t>
      </w:r>
      <w:r w:rsidRPr="000C539F">
        <w:t xml:space="preserve">maintained </w:t>
      </w:r>
      <w:r w:rsidR="007A6EAD" w:rsidRPr="000C539F">
        <w:t>infrastructure</w:t>
      </w:r>
      <w:r w:rsidRPr="000C539F">
        <w:t xml:space="preserve">. </w:t>
      </w:r>
    </w:p>
    <w:p w14:paraId="6D57FB8E" w14:textId="78CE3CC3" w:rsidR="00306813" w:rsidRDefault="000D347C" w:rsidP="0025178F">
      <w:pPr>
        <w:pStyle w:val="bParagraphtext"/>
        <w:numPr>
          <w:ilvl w:val="0"/>
          <w:numId w:val="20"/>
        </w:numPr>
        <w:ind w:left="426" w:hanging="426"/>
        <w:jc w:val="both"/>
      </w:pPr>
      <w:r>
        <w:t xml:space="preserve">In support of this ambition the government has recently </w:t>
      </w:r>
      <w:r w:rsidR="00603469">
        <w:t xml:space="preserve">launched </w:t>
      </w:r>
      <w:r>
        <w:t xml:space="preserve">further funding support packages including </w:t>
      </w:r>
      <w:r w:rsidR="00603469">
        <w:t xml:space="preserve">the Local EV Infrastructure </w:t>
      </w:r>
      <w:r>
        <w:t xml:space="preserve">(LEVI) fund. The </w:t>
      </w:r>
      <w:r w:rsidR="007A6EAD">
        <w:t>c</w:t>
      </w:r>
      <w:r>
        <w:t xml:space="preserve">ity is placing a joint bid with </w:t>
      </w:r>
      <w:r w:rsidR="00F15B27">
        <w:t xml:space="preserve">Oxfordshire </w:t>
      </w:r>
      <w:r>
        <w:t xml:space="preserve">County Council and neighbouring districts to access Pilot funding from this </w:t>
      </w:r>
      <w:r w:rsidRPr="000C539F">
        <w:t xml:space="preserve">grant pot. </w:t>
      </w:r>
      <w:r w:rsidR="000C539F" w:rsidRPr="000C539F">
        <w:t xml:space="preserve">This bid is covered in more detail in a separate report, titled LEVI Grant EV Infrastructure </w:t>
      </w:r>
      <w:r w:rsidR="00C1104C">
        <w:t>Project Approval, which went to C</w:t>
      </w:r>
      <w:r w:rsidR="000C539F" w:rsidRPr="000C539F">
        <w:t>abinet on 15 June 2022</w:t>
      </w:r>
      <w:r w:rsidR="00F74E1D">
        <w:t>, and submitted to Government on 17 June 2022</w:t>
      </w:r>
      <w:r w:rsidR="00306813" w:rsidRPr="000C539F">
        <w:t>.</w:t>
      </w:r>
    </w:p>
    <w:p w14:paraId="635A7669" w14:textId="77777777" w:rsidR="00C15669" w:rsidRDefault="00C15669" w:rsidP="0025178F">
      <w:pPr>
        <w:pStyle w:val="bParagraphtext"/>
        <w:jc w:val="both"/>
        <w:rPr>
          <w:b/>
        </w:rPr>
      </w:pPr>
    </w:p>
    <w:p w14:paraId="207D95DA" w14:textId="77777777" w:rsidR="00306813" w:rsidRPr="0025178F" w:rsidRDefault="00203AF2" w:rsidP="0025178F">
      <w:pPr>
        <w:pStyle w:val="bParagraphtext"/>
        <w:jc w:val="both"/>
        <w:rPr>
          <w:b/>
        </w:rPr>
      </w:pPr>
      <w:r w:rsidRPr="0025178F">
        <w:rPr>
          <w:b/>
        </w:rPr>
        <w:t>Trajectory of EV Uptake</w:t>
      </w:r>
    </w:p>
    <w:p w14:paraId="0CEAA1C4" w14:textId="6D7AC939" w:rsidR="00C15669" w:rsidRDefault="00C15669" w:rsidP="0025178F">
      <w:pPr>
        <w:pStyle w:val="bParagraphtext"/>
        <w:numPr>
          <w:ilvl w:val="0"/>
          <w:numId w:val="20"/>
        </w:numPr>
        <w:ind w:left="426" w:hanging="426"/>
        <w:jc w:val="both"/>
      </w:pPr>
      <w:r>
        <w:t xml:space="preserve">Of the 52,000 vehicles in Oxford today, </w:t>
      </w:r>
      <w:r w:rsidR="0099043E">
        <w:t>just</w:t>
      </w:r>
      <w:r>
        <w:t xml:space="preserve"> under 900 are EVs (less than 2%).  In order to meet net zero by 2040, these numbers </w:t>
      </w:r>
      <w:r w:rsidR="00A05764">
        <w:t>must</w:t>
      </w:r>
      <w:r>
        <w:t xml:space="preserve"> rise sharply over the next few years</w:t>
      </w:r>
      <w:r w:rsidR="00A05764">
        <w:t xml:space="preserve"> – ZCOP </w:t>
      </w:r>
      <w:r w:rsidR="00F74E1D">
        <w:t xml:space="preserve">identifies </w:t>
      </w:r>
      <w:r w:rsidR="00A05764">
        <w:t>that to meet Oxford’s Zero Carbon ambitions</w:t>
      </w:r>
      <w:r w:rsidR="005B505A">
        <w:t>,</w:t>
      </w:r>
      <w:r w:rsidR="00A05764">
        <w:t xml:space="preserve"> </w:t>
      </w:r>
      <w:r w:rsidR="005B505A">
        <w:t>1</w:t>
      </w:r>
      <w:r w:rsidR="00A05764">
        <w:t>6</w:t>
      </w:r>
      <w:r w:rsidR="004A3B6F">
        <w:t>,</w:t>
      </w:r>
      <w:r w:rsidR="00A05764">
        <w:t xml:space="preserve">000 fossil fuel cars need to be replaced by EVs </w:t>
      </w:r>
      <w:r w:rsidR="005B505A">
        <w:t>in the next four years alone.</w:t>
      </w:r>
      <w:r>
        <w:t xml:space="preserve"> </w:t>
      </w:r>
    </w:p>
    <w:p w14:paraId="204CA051" w14:textId="77777777" w:rsidR="00EE07DC" w:rsidRDefault="00EE07DC" w:rsidP="00EE07DC">
      <w:pPr>
        <w:pStyle w:val="bParagraphtext"/>
        <w:numPr>
          <w:ilvl w:val="0"/>
          <w:numId w:val="20"/>
        </w:numPr>
        <w:ind w:left="426" w:hanging="426"/>
        <w:jc w:val="both"/>
      </w:pPr>
      <w:r>
        <w:t>In a recent survey, 53% of respondents</w:t>
      </w:r>
      <w:r w:rsidRPr="001843FD">
        <w:rPr>
          <w:vertAlign w:val="superscript"/>
        </w:rPr>
        <w:footnoteReference w:id="1"/>
      </w:r>
      <w:r>
        <w:t xml:space="preserve"> in Oxford stated th</w:t>
      </w:r>
      <w:r w:rsidR="004A3B6F">
        <w:t>at they</w:t>
      </w:r>
      <w:r>
        <w:t xml:space="preserve"> </w:t>
      </w:r>
      <w:r w:rsidR="005B505A">
        <w:t xml:space="preserve">expect to switch to an EV </w:t>
      </w:r>
      <w:r>
        <w:t>in the coming 6-24 months. EV infrastructure needs to grow quickly to meet this demand</w:t>
      </w:r>
      <w:r w:rsidR="00A05764">
        <w:t>.</w:t>
      </w:r>
    </w:p>
    <w:p w14:paraId="36AEFB2C" w14:textId="0360CE9C" w:rsidR="007977DC" w:rsidRPr="0025178F" w:rsidRDefault="000D347C" w:rsidP="0025178F">
      <w:pPr>
        <w:pStyle w:val="bParagraphtext"/>
        <w:numPr>
          <w:ilvl w:val="0"/>
          <w:numId w:val="20"/>
        </w:numPr>
        <w:ind w:left="426" w:hanging="426"/>
        <w:jc w:val="both"/>
      </w:pPr>
      <w:r>
        <w:lastRenderedPageBreak/>
        <w:t>The table below sets out 3 trajectories</w:t>
      </w:r>
      <w:r w:rsidR="00EE07DC">
        <w:t xml:space="preserve"> for EV uptake in the city. These figures have been calculated</w:t>
      </w:r>
      <w:r>
        <w:t xml:space="preserve"> using </w:t>
      </w:r>
      <w:r w:rsidRPr="009C2956">
        <w:t xml:space="preserve">nationally recognised </w:t>
      </w:r>
      <w:r w:rsidR="00EE07DC">
        <w:t>formulas</w:t>
      </w:r>
      <w:r w:rsidRPr="009C2956">
        <w:t xml:space="preserve"> to predict </w:t>
      </w:r>
      <w:r>
        <w:t xml:space="preserve">the </w:t>
      </w:r>
      <w:r w:rsidR="00EE07DC">
        <w:t>c</w:t>
      </w:r>
      <w:r>
        <w:t xml:space="preserve">ity’s future car and light </w:t>
      </w:r>
      <w:r w:rsidR="003159CB">
        <w:t>commercial vehicle (LCV)</w:t>
      </w:r>
      <w:r>
        <w:t xml:space="preserve"> EV charging </w:t>
      </w:r>
      <w:r w:rsidRPr="009C2956">
        <w:t>need</w:t>
      </w:r>
      <w:r>
        <w:t>s</w:t>
      </w:r>
      <w:r w:rsidRPr="00937B09">
        <w:rPr>
          <w:rStyle w:val="FootnoteReference"/>
          <w:sz w:val="22"/>
          <w:szCs w:val="22"/>
        </w:rPr>
        <w:footnoteReference w:id="2"/>
      </w:r>
      <w:r w:rsidRPr="001253D9">
        <w:rPr>
          <w:sz w:val="22"/>
          <w:szCs w:val="22"/>
        </w:rPr>
        <w:t>.</w:t>
      </w:r>
      <w:r w:rsidR="00EE07DC">
        <w:rPr>
          <w:sz w:val="22"/>
          <w:szCs w:val="22"/>
        </w:rPr>
        <w:t xml:space="preserve"> </w:t>
      </w:r>
      <w:r w:rsidR="005B505A" w:rsidRPr="00D8602D">
        <w:t xml:space="preserve">To achieve the </w:t>
      </w:r>
      <w:r w:rsidR="004A3B6F" w:rsidRPr="00D8602D">
        <w:t>c</w:t>
      </w:r>
      <w:r w:rsidR="005B505A" w:rsidRPr="00D8602D">
        <w:t>it</w:t>
      </w:r>
      <w:r w:rsidR="004A3B6F" w:rsidRPr="00D8602D">
        <w:t>y</w:t>
      </w:r>
      <w:r w:rsidR="005B505A" w:rsidRPr="00D8602D">
        <w:t xml:space="preserve">’s </w:t>
      </w:r>
      <w:r w:rsidR="004A3B6F" w:rsidRPr="00D8602D">
        <w:t>z</w:t>
      </w:r>
      <w:r w:rsidR="005B505A" w:rsidRPr="00D8602D">
        <w:t xml:space="preserve">ero </w:t>
      </w:r>
      <w:r w:rsidR="004A3B6F" w:rsidRPr="00D8602D">
        <w:t>c</w:t>
      </w:r>
      <w:r w:rsidR="005B505A" w:rsidRPr="00D8602D">
        <w:t>arbon targets, we w</w:t>
      </w:r>
      <w:r w:rsidR="004A3B6F" w:rsidRPr="00D8602D">
        <w:t>ould</w:t>
      </w:r>
      <w:r w:rsidR="005B505A" w:rsidRPr="00D8602D">
        <w:t xml:space="preserve"> need to achieve the ZCOP uptake trajectory.</w:t>
      </w:r>
      <w:r w:rsidR="005B505A">
        <w:rPr>
          <w:sz w:val="22"/>
          <w:szCs w:val="22"/>
        </w:rPr>
        <w:t xml:space="preserve">  </w:t>
      </w:r>
    </w:p>
    <w:p w14:paraId="71E6A637" w14:textId="399885C3" w:rsidR="0099043E" w:rsidRPr="0025178F" w:rsidRDefault="00F74E1D" w:rsidP="0025178F">
      <w:pPr>
        <w:pStyle w:val="bParagraphtext"/>
        <w:numPr>
          <w:ilvl w:val="0"/>
          <w:numId w:val="20"/>
        </w:numPr>
        <w:ind w:left="426" w:hanging="426"/>
        <w:jc w:val="both"/>
      </w:pPr>
      <w:r>
        <w:t>However, it is recognised that there are many factors that will dictate the actual rate of EV uptake. Therefore, t</w:t>
      </w:r>
      <w:r w:rsidR="005B505A">
        <w:t>he Strategy</w:t>
      </w:r>
      <w:r w:rsidR="0099043E" w:rsidRPr="0025178F">
        <w:t xml:space="preserve"> recommends </w:t>
      </w:r>
      <w:r w:rsidR="007977DC">
        <w:t xml:space="preserve">that </w:t>
      </w:r>
      <w:r w:rsidR="000C539F">
        <w:t xml:space="preserve">we align targets for EV </w:t>
      </w:r>
      <w:r>
        <w:t xml:space="preserve">infrastructure deployment </w:t>
      </w:r>
      <w:r w:rsidR="000C539F">
        <w:t xml:space="preserve">by </w:t>
      </w:r>
      <w:r w:rsidR="00AB4455">
        <w:t xml:space="preserve">annually checking EV adoption rates for the city. The purpose of the strategy is to </w:t>
      </w:r>
      <w:r w:rsidR="005B505A">
        <w:t xml:space="preserve">enable </w:t>
      </w:r>
      <w:r w:rsidR="00AB4455">
        <w:t xml:space="preserve">EV uptake in an agile way, not to constrain it, </w:t>
      </w:r>
      <w:r w:rsidR="005B505A">
        <w:t>while avoiding over</w:t>
      </w:r>
      <w:r w:rsidR="00AB4455">
        <w:t xml:space="preserve">supply of </w:t>
      </w:r>
      <w:r w:rsidR="005B505A">
        <w:t xml:space="preserve">infrastructure </w:t>
      </w:r>
      <w:r w:rsidR="00AB4455">
        <w:t xml:space="preserve">that is not used. </w:t>
      </w:r>
      <w:r w:rsidR="0099043E" w:rsidRPr="0025178F">
        <w:t xml:space="preserve"> </w:t>
      </w:r>
    </w:p>
    <w:p w14:paraId="38838703" w14:textId="77777777" w:rsidR="0099043E" w:rsidRDefault="0099043E" w:rsidP="0025178F">
      <w:pPr>
        <w:pStyle w:val="bParagraphtext"/>
        <w:ind w:left="426"/>
        <w:jc w:val="both"/>
      </w:pPr>
    </w:p>
    <w:p w14:paraId="28DF61D2" w14:textId="77777777" w:rsidR="0080293E" w:rsidRPr="002C20E3" w:rsidRDefault="00EE07DC" w:rsidP="0025178F">
      <w:pPr>
        <w:pStyle w:val="bParagraphtext"/>
        <w:jc w:val="both"/>
      </w:pPr>
      <w:r>
        <w:tab/>
      </w:r>
      <w:r w:rsidR="00AB4455" w:rsidRPr="00AB4455">
        <w:rPr>
          <w:noProof/>
        </w:rPr>
        <w:drawing>
          <wp:inline distT="0" distB="0" distL="0" distR="0" wp14:anchorId="32DEA511" wp14:editId="226F41E3">
            <wp:extent cx="6464300" cy="1956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300" cy="1956435"/>
                    </a:xfrm>
                    <a:prstGeom prst="rect">
                      <a:avLst/>
                    </a:prstGeom>
                    <a:noFill/>
                    <a:ln>
                      <a:noFill/>
                    </a:ln>
                  </pic:spPr>
                </pic:pic>
              </a:graphicData>
            </a:graphic>
          </wp:inline>
        </w:drawing>
      </w:r>
      <w:r w:rsidR="00AB4455" w:rsidRPr="00AB4455" w:rsidDel="00AB4455">
        <w:t xml:space="preserve"> </w:t>
      </w:r>
    </w:p>
    <w:p w14:paraId="1CB88610" w14:textId="77777777" w:rsidR="0099043E" w:rsidRDefault="0099043E" w:rsidP="00F90DA0">
      <w:pPr>
        <w:jc w:val="both"/>
        <w:rPr>
          <w:b/>
        </w:rPr>
      </w:pPr>
    </w:p>
    <w:p w14:paraId="6DFBE64E" w14:textId="77777777" w:rsidR="004A3B6F" w:rsidRDefault="004A3B6F" w:rsidP="00F90DA0">
      <w:pPr>
        <w:jc w:val="both"/>
        <w:rPr>
          <w:b/>
        </w:rPr>
      </w:pPr>
    </w:p>
    <w:p w14:paraId="73BF3E03" w14:textId="77777777" w:rsidR="004A3B6F" w:rsidRDefault="004A3B6F" w:rsidP="00F90DA0">
      <w:pPr>
        <w:jc w:val="both"/>
        <w:rPr>
          <w:b/>
        </w:rPr>
      </w:pPr>
    </w:p>
    <w:p w14:paraId="0ABAE6B7" w14:textId="77777777" w:rsidR="004A3B6F" w:rsidRDefault="004A3B6F" w:rsidP="00F90DA0">
      <w:pPr>
        <w:jc w:val="both"/>
        <w:rPr>
          <w:b/>
        </w:rPr>
      </w:pPr>
    </w:p>
    <w:p w14:paraId="3F31A411" w14:textId="77777777" w:rsidR="00F90DA0" w:rsidRDefault="00F90DA0" w:rsidP="00F90DA0">
      <w:pPr>
        <w:jc w:val="both"/>
        <w:rPr>
          <w:b/>
        </w:rPr>
      </w:pPr>
      <w:r w:rsidRPr="0025178F">
        <w:rPr>
          <w:b/>
          <w:u w:val="single"/>
        </w:rPr>
        <w:t xml:space="preserve">EV </w:t>
      </w:r>
      <w:r w:rsidR="003006FB">
        <w:rPr>
          <w:b/>
          <w:u w:val="single"/>
        </w:rPr>
        <w:t>I</w:t>
      </w:r>
      <w:r w:rsidRPr="0025178F">
        <w:rPr>
          <w:b/>
          <w:u w:val="single"/>
        </w:rPr>
        <w:t>nfrastructure</w:t>
      </w:r>
      <w:r w:rsidRPr="0025178F">
        <w:rPr>
          <w:u w:val="single"/>
        </w:rPr>
        <w:t xml:space="preserve"> </w:t>
      </w:r>
      <w:r w:rsidRPr="0025178F">
        <w:rPr>
          <w:b/>
          <w:u w:val="single"/>
        </w:rPr>
        <w:t xml:space="preserve">Strategy </w:t>
      </w:r>
      <w:r w:rsidR="005B505A">
        <w:rPr>
          <w:b/>
          <w:u w:val="single"/>
        </w:rPr>
        <w:t xml:space="preserve">Vision and </w:t>
      </w:r>
      <w:r w:rsidRPr="0025178F">
        <w:rPr>
          <w:b/>
          <w:u w:val="single"/>
        </w:rPr>
        <w:t>Objectives</w:t>
      </w:r>
    </w:p>
    <w:p w14:paraId="6E6FF2BF" w14:textId="3B99E404" w:rsidR="00732794" w:rsidRPr="004A3B6F" w:rsidRDefault="0099043E" w:rsidP="00C84D95">
      <w:pPr>
        <w:pStyle w:val="ListParagraph"/>
        <w:numPr>
          <w:ilvl w:val="0"/>
          <w:numId w:val="20"/>
        </w:numPr>
        <w:ind w:left="426" w:hanging="426"/>
        <w:jc w:val="both"/>
      </w:pPr>
      <w:proofErr w:type="spellStart"/>
      <w:r>
        <w:t>OxEVIS</w:t>
      </w:r>
      <w:proofErr w:type="spellEnd"/>
      <w:r w:rsidR="00F90DA0">
        <w:t xml:space="preserve"> </w:t>
      </w:r>
      <w:r w:rsidR="000E5803">
        <w:t xml:space="preserve">will </w:t>
      </w:r>
      <w:r w:rsidR="00F90DA0">
        <w:t>‘</w:t>
      </w:r>
      <w:r w:rsidR="00F90DA0" w:rsidRPr="0025178F">
        <w:rPr>
          <w:i/>
        </w:rPr>
        <w:t xml:space="preserve">Progress Oxford’s leadership in the transition to a sustainable, decarbonised transport system through the delivery of a fair, sustainable, accessible </w:t>
      </w:r>
      <w:r w:rsidR="00F90DA0" w:rsidRPr="00C84D95">
        <w:rPr>
          <w:i/>
        </w:rPr>
        <w:t>and equitable network of EV charging infrastructure</w:t>
      </w:r>
      <w:r w:rsidR="00732794" w:rsidRPr="00C84D95">
        <w:rPr>
          <w:i/>
        </w:rPr>
        <w:t>”.</w:t>
      </w:r>
    </w:p>
    <w:p w14:paraId="57C069AB" w14:textId="77777777" w:rsidR="00F90DA0" w:rsidRDefault="00732794" w:rsidP="004A3B6F">
      <w:pPr>
        <w:pStyle w:val="ListParagraph"/>
        <w:numPr>
          <w:ilvl w:val="0"/>
          <w:numId w:val="0"/>
        </w:numPr>
        <w:ind w:left="426"/>
        <w:jc w:val="both"/>
      </w:pPr>
      <w:r w:rsidRPr="002B191E" w:rsidDel="00732794">
        <w:t xml:space="preserve"> </w:t>
      </w:r>
      <w:r w:rsidR="00F90DA0">
        <w:rPr>
          <w:noProof/>
        </w:rPr>
        <w:drawing>
          <wp:inline distT="0" distB="0" distL="0" distR="0" wp14:anchorId="213F6A99" wp14:editId="18E92DDA">
            <wp:extent cx="6267450" cy="14248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78561" cy="1427388"/>
                    </a:xfrm>
                    <a:prstGeom prst="rect">
                      <a:avLst/>
                    </a:prstGeom>
                  </pic:spPr>
                </pic:pic>
              </a:graphicData>
            </a:graphic>
          </wp:inline>
        </w:drawing>
      </w:r>
    </w:p>
    <w:p w14:paraId="0BA2AEB3" w14:textId="2B5049E8" w:rsidR="007977DC" w:rsidRPr="00997D75" w:rsidRDefault="000E5803" w:rsidP="007977DC">
      <w:pPr>
        <w:pStyle w:val="bParagraphtext"/>
        <w:numPr>
          <w:ilvl w:val="0"/>
          <w:numId w:val="20"/>
        </w:numPr>
        <w:ind w:left="426" w:hanging="426"/>
        <w:jc w:val="both"/>
      </w:pPr>
      <w:r>
        <w:t xml:space="preserve">The </w:t>
      </w:r>
      <w:r w:rsidR="00F74E1D">
        <w:t xml:space="preserve">Strategy </w:t>
      </w:r>
      <w:r>
        <w:t>seeks to enable the Council to secure additional i</w:t>
      </w:r>
      <w:r w:rsidR="007977DC">
        <w:t>nvestment from the private sector</w:t>
      </w:r>
      <w:r>
        <w:t xml:space="preserve"> and</w:t>
      </w:r>
      <w:r w:rsidR="007977DC">
        <w:t xml:space="preserve"> </w:t>
      </w:r>
      <w:r>
        <w:t xml:space="preserve">through </w:t>
      </w:r>
      <w:r w:rsidR="007977DC">
        <w:t>grant bids</w:t>
      </w:r>
      <w:r>
        <w:t xml:space="preserve">, </w:t>
      </w:r>
      <w:r w:rsidR="007977DC">
        <w:t xml:space="preserve">as </w:t>
      </w:r>
      <w:r>
        <w:t xml:space="preserve">well as </w:t>
      </w:r>
      <w:r w:rsidR="007977DC">
        <w:t xml:space="preserve">opening up opportunities for ODS/ODSTL </w:t>
      </w:r>
      <w:r w:rsidR="007977DC" w:rsidRPr="00997D75">
        <w:t xml:space="preserve">to deliver services in this space.  </w:t>
      </w:r>
    </w:p>
    <w:p w14:paraId="2DE9E252" w14:textId="1A812D0F" w:rsidR="0032774D" w:rsidRDefault="0032774D" w:rsidP="007977DC">
      <w:pPr>
        <w:pStyle w:val="bParagraphtext"/>
        <w:numPr>
          <w:ilvl w:val="0"/>
          <w:numId w:val="20"/>
        </w:numPr>
        <w:ind w:left="426" w:hanging="426"/>
        <w:jc w:val="both"/>
      </w:pPr>
      <w:r>
        <w:lastRenderedPageBreak/>
        <w:t>Where possible the Council will seek to structure deployment such that the more lucrative EV charging sites provide cross-subsidy to those, initially, less well-used. It should be noted that sites in those areas of the city with higher numbers of commercial vehicles parked overnight may be currently less attractive to the market, but may eventually see the highest usage of EV charging sites in the latter years once most vehicles are electric.</w:t>
      </w:r>
    </w:p>
    <w:p w14:paraId="7B14B9E1" w14:textId="424CE1DA" w:rsidR="00AB4455" w:rsidRPr="00997D75" w:rsidRDefault="00AB4455" w:rsidP="0032774D">
      <w:pPr>
        <w:pStyle w:val="bParagraphtext"/>
        <w:numPr>
          <w:ilvl w:val="0"/>
          <w:numId w:val="20"/>
        </w:numPr>
        <w:ind w:left="426" w:hanging="426"/>
        <w:jc w:val="both"/>
      </w:pPr>
      <w:r w:rsidRPr="00997D75">
        <w:t>Over the longer term</w:t>
      </w:r>
      <w:r w:rsidR="000E5803">
        <w:t>,</w:t>
      </w:r>
      <w:r w:rsidRPr="00997D75">
        <w:t xml:space="preserve"> </w:t>
      </w:r>
      <w:r w:rsidR="000E5803">
        <w:t xml:space="preserve">connected </w:t>
      </w:r>
      <w:r w:rsidRPr="00997D75">
        <w:t xml:space="preserve">EV </w:t>
      </w:r>
      <w:r w:rsidR="00743594" w:rsidRPr="00997D75">
        <w:t xml:space="preserve">infrastructure </w:t>
      </w:r>
      <w:r w:rsidR="000E5803">
        <w:t>sites</w:t>
      </w:r>
      <w:r w:rsidR="000E5803" w:rsidRPr="00997D75">
        <w:t xml:space="preserve"> </w:t>
      </w:r>
      <w:r w:rsidR="000E5803">
        <w:t>are anticipated</w:t>
      </w:r>
      <w:r w:rsidR="000E5803" w:rsidRPr="00997D75">
        <w:t xml:space="preserve"> </w:t>
      </w:r>
      <w:r w:rsidR="00732794">
        <w:t xml:space="preserve">to </w:t>
      </w:r>
      <w:r w:rsidRPr="00997D75">
        <w:t>be</w:t>
      </w:r>
      <w:r w:rsidR="00732794">
        <w:t>come</w:t>
      </w:r>
      <w:r w:rsidRPr="00997D75">
        <w:t xml:space="preserve"> valuable</w:t>
      </w:r>
      <w:r w:rsidR="00743594" w:rsidRPr="00997D75">
        <w:t xml:space="preserve"> </w:t>
      </w:r>
      <w:r w:rsidR="00732794">
        <w:t xml:space="preserve">commercial and community energy </w:t>
      </w:r>
      <w:r w:rsidR="00743594" w:rsidRPr="00997D75">
        <w:t xml:space="preserve">assets. </w:t>
      </w:r>
      <w:r w:rsidRPr="00997D75">
        <w:t xml:space="preserve">In the short term, whilst EV charging uptake is still low, </w:t>
      </w:r>
      <w:r w:rsidR="000E5803">
        <w:t xml:space="preserve">the </w:t>
      </w:r>
      <w:r w:rsidRPr="00997D75">
        <w:t xml:space="preserve">Council </w:t>
      </w:r>
      <w:r w:rsidR="000E5803">
        <w:t>may</w:t>
      </w:r>
      <w:r w:rsidRPr="00997D75">
        <w:t xml:space="preserve"> incur revenue costs to subsidise operation and maintenance of equipment</w:t>
      </w:r>
      <w:r w:rsidR="000E5803">
        <w:t>, where this is less attractive to the market, to ensure equitable infrastructure delivery</w:t>
      </w:r>
      <w:r w:rsidRPr="00997D75">
        <w:t xml:space="preserve">. </w:t>
      </w:r>
    </w:p>
    <w:p w14:paraId="652BD70F" w14:textId="77777777" w:rsidR="00743594" w:rsidRDefault="00743594" w:rsidP="007977DC">
      <w:pPr>
        <w:pStyle w:val="bParagraphtext"/>
        <w:numPr>
          <w:ilvl w:val="0"/>
          <w:numId w:val="20"/>
        </w:numPr>
        <w:ind w:left="426" w:hanging="426"/>
        <w:jc w:val="both"/>
      </w:pPr>
      <w:r w:rsidRPr="00997D75">
        <w:t xml:space="preserve">Any procurements will be structured to seek longer term </w:t>
      </w:r>
      <w:r w:rsidR="00997D75" w:rsidRPr="00997D75">
        <w:t>revenue</w:t>
      </w:r>
      <w:r w:rsidRPr="00997D75">
        <w:t xml:space="preserve"> opportunities for the Council and </w:t>
      </w:r>
      <w:r w:rsidR="00997D75" w:rsidRPr="00997D75">
        <w:t xml:space="preserve">ODS/ODSTL. Revenue will be used to meet the objectives of this strategy, subsidising equity of provision, best value for the public, maintenance and operation costs and where possible return income to the Council. </w:t>
      </w:r>
    </w:p>
    <w:p w14:paraId="5DE6510F" w14:textId="09AF4AD2" w:rsidR="00F90DA0" w:rsidRDefault="000E5803" w:rsidP="004A3B6F">
      <w:pPr>
        <w:pStyle w:val="bParagraphtext"/>
        <w:numPr>
          <w:ilvl w:val="0"/>
          <w:numId w:val="20"/>
        </w:numPr>
        <w:ind w:left="426" w:hanging="426"/>
        <w:jc w:val="both"/>
      </w:pPr>
      <w:r>
        <w:t xml:space="preserve">Quality of provision and value for the public and </w:t>
      </w:r>
      <w:r w:rsidR="0032774D">
        <w:t>Oxford City Council</w:t>
      </w:r>
      <w:r>
        <w:t xml:space="preserve"> will be secured through the </w:t>
      </w:r>
      <w:r w:rsidR="0032774D">
        <w:t xml:space="preserve">Council’s </w:t>
      </w:r>
      <w:r>
        <w:t xml:space="preserve">award winning EV Infrastructure Dynamic Purchasing System (DPS), which will also enable the Council to generate revenue by supporting other </w:t>
      </w:r>
      <w:r w:rsidR="0032774D">
        <w:t xml:space="preserve">local authorities </w:t>
      </w:r>
      <w:r>
        <w:t xml:space="preserve">to procure, building on Oxford’s expertise. </w:t>
      </w:r>
    </w:p>
    <w:p w14:paraId="67C09AE4" w14:textId="77777777" w:rsidR="008C4D7C" w:rsidRDefault="008C4D7C" w:rsidP="008C4D7C">
      <w:pPr>
        <w:pStyle w:val="Heading1"/>
      </w:pPr>
      <w:r>
        <w:t>Benefits</w:t>
      </w:r>
    </w:p>
    <w:p w14:paraId="630312FD" w14:textId="452DEF1B" w:rsidR="00D37103" w:rsidRDefault="0032774D" w:rsidP="00997D75">
      <w:pPr>
        <w:pStyle w:val="ListParagraph"/>
        <w:numPr>
          <w:ilvl w:val="0"/>
          <w:numId w:val="20"/>
        </w:numPr>
        <w:ind w:left="426" w:hanging="426"/>
        <w:jc w:val="both"/>
      </w:pPr>
      <w:r>
        <w:t>G</w:t>
      </w:r>
      <w:r w:rsidR="00D37103">
        <w:t xml:space="preserve">overnment confirmed in March ‘22 that it expects all </w:t>
      </w:r>
      <w:r>
        <w:t xml:space="preserve">local authorities </w:t>
      </w:r>
      <w:r w:rsidR="00325841">
        <w:t xml:space="preserve">to have an EV strategy that is tailored, ambitious, scaled and commercially sustainable, as well as aligned with wider local transport and energy decarbonisation policies. </w:t>
      </w:r>
    </w:p>
    <w:p w14:paraId="07FC5EE9" w14:textId="0E3AAF23" w:rsidR="00C86951" w:rsidRDefault="00C86951" w:rsidP="00997D75">
      <w:pPr>
        <w:pStyle w:val="ListParagraph"/>
        <w:numPr>
          <w:ilvl w:val="0"/>
          <w:numId w:val="20"/>
        </w:numPr>
        <w:ind w:left="426" w:hanging="426"/>
        <w:jc w:val="both"/>
      </w:pPr>
      <w:r>
        <w:t>There will only be a limited window of opportunity for local authorities to secure EV infrastructure funding as Government has highlighted that it will only provide such finance in the short to medium term</w:t>
      </w:r>
      <w:r w:rsidR="005770FD">
        <w:t>, through competitive bids,</w:t>
      </w:r>
      <w:r>
        <w:t xml:space="preserve"> until a commercial market is established. By approving this </w:t>
      </w:r>
      <w:r w:rsidR="0032774D">
        <w:t xml:space="preserve">Strategy </w:t>
      </w:r>
      <w:r>
        <w:t xml:space="preserve">the city will be able to move </w:t>
      </w:r>
      <w:r w:rsidR="003006FB">
        <w:t>swiftly to</w:t>
      </w:r>
      <w:r>
        <w:t xml:space="preserve"> seek grant funding</w:t>
      </w:r>
      <w:r w:rsidR="005770FD">
        <w:t>.</w:t>
      </w:r>
      <w:r>
        <w:t xml:space="preserve"> </w:t>
      </w:r>
    </w:p>
    <w:p w14:paraId="77D1D2CE" w14:textId="538ABD3D" w:rsidR="00D37103" w:rsidRDefault="00D37103" w:rsidP="00997D75">
      <w:pPr>
        <w:pStyle w:val="ListParagraph"/>
        <w:numPr>
          <w:ilvl w:val="0"/>
          <w:numId w:val="20"/>
        </w:numPr>
        <w:ind w:left="426" w:hanging="426"/>
        <w:jc w:val="both"/>
      </w:pPr>
      <w:r>
        <w:t xml:space="preserve">This </w:t>
      </w:r>
      <w:r w:rsidR="0032774D">
        <w:t xml:space="preserve">Strategy </w:t>
      </w:r>
      <w:r>
        <w:t xml:space="preserve">provides a </w:t>
      </w:r>
      <w:r w:rsidR="00325841">
        <w:t xml:space="preserve">much needed consistent </w:t>
      </w:r>
      <w:r>
        <w:t xml:space="preserve">framework </w:t>
      </w:r>
      <w:r w:rsidR="00C86951">
        <w:t>for</w:t>
      </w:r>
      <w:r w:rsidR="00C86951" w:rsidRPr="008C4D7C">
        <w:t xml:space="preserve"> evaluating, managing and monitoring the Council’s approach to public charging infrastructure in a manne</w:t>
      </w:r>
      <w:r w:rsidR="00C86951">
        <w:t xml:space="preserve">r that is consistent and robust, </w:t>
      </w:r>
      <w:r>
        <w:t>ensuring that</w:t>
      </w:r>
      <w:r w:rsidR="00325841">
        <w:t xml:space="preserve"> future </w:t>
      </w:r>
      <w:r>
        <w:t>infrastructure rollout</w:t>
      </w:r>
      <w:r w:rsidR="00325841">
        <w:t>s</w:t>
      </w:r>
      <w:r>
        <w:t xml:space="preserve"> holistically meet</w:t>
      </w:r>
      <w:r w:rsidR="00325841">
        <w:t>s</w:t>
      </w:r>
      <w:r>
        <w:t xml:space="preserve"> the needs of the city</w:t>
      </w:r>
      <w:r w:rsidR="00732794">
        <w:t>, its residents, visitors and its energy system</w:t>
      </w:r>
      <w:r>
        <w:t xml:space="preserve">, rather than </w:t>
      </w:r>
      <w:r w:rsidR="00325841">
        <w:t xml:space="preserve">a </w:t>
      </w:r>
      <w:r>
        <w:t>piecemeal</w:t>
      </w:r>
      <w:r w:rsidR="00325841">
        <w:t xml:space="preserve"> project approach</w:t>
      </w:r>
      <w:r>
        <w:t xml:space="preserve">. </w:t>
      </w:r>
    </w:p>
    <w:p w14:paraId="47911196" w14:textId="0C8AC01B" w:rsidR="00D37103" w:rsidRDefault="00D37103" w:rsidP="00997D75">
      <w:pPr>
        <w:pStyle w:val="ListParagraph"/>
        <w:numPr>
          <w:ilvl w:val="0"/>
          <w:numId w:val="20"/>
        </w:numPr>
        <w:ind w:left="426" w:hanging="426"/>
        <w:jc w:val="both"/>
      </w:pPr>
      <w:r>
        <w:t xml:space="preserve">By setting out </w:t>
      </w:r>
      <w:r w:rsidR="00C86951">
        <w:t>city</w:t>
      </w:r>
      <w:r w:rsidR="0032774D">
        <w:t>-</w:t>
      </w:r>
      <w:r w:rsidR="00C86951">
        <w:t>wide</w:t>
      </w:r>
      <w:r>
        <w:t xml:space="preserve"> long term aspirations, </w:t>
      </w:r>
      <w:proofErr w:type="spellStart"/>
      <w:r>
        <w:t>OxEVIS</w:t>
      </w:r>
      <w:proofErr w:type="spellEnd"/>
      <w:r>
        <w:t xml:space="preserve"> will facilitate a stronger proposition to commercial suppliers</w:t>
      </w:r>
      <w:r w:rsidR="00C86951">
        <w:t>, resulting in better offers / investment solutions from the market, as well as providing an</w:t>
      </w:r>
      <w:r w:rsidR="00590A35">
        <w:t xml:space="preserve"> opportunity to balance the needs of </w:t>
      </w:r>
      <w:r w:rsidR="00C86951">
        <w:t>the public by ensuring that good commercial sites are mixed with less attractive much needed locations</w:t>
      </w:r>
      <w:r w:rsidR="003006FB">
        <w:t>. This will ensure that the city meets one of the core fundamental principles of this strategy</w:t>
      </w:r>
      <w:r w:rsidR="005770FD">
        <w:t>,</w:t>
      </w:r>
      <w:r w:rsidR="003006FB">
        <w:t xml:space="preserve"> which is to deliver </w:t>
      </w:r>
      <w:r w:rsidR="00C86951">
        <w:t xml:space="preserve">fair and equitable provision. </w:t>
      </w:r>
    </w:p>
    <w:p w14:paraId="235C7EF0" w14:textId="77777777" w:rsidR="008C4D7C" w:rsidRPr="001356F1" w:rsidRDefault="008C4D7C" w:rsidP="008C4D7C">
      <w:pPr>
        <w:pStyle w:val="Heading1"/>
      </w:pPr>
      <w:r w:rsidRPr="001356F1">
        <w:t>Financial implications</w:t>
      </w:r>
    </w:p>
    <w:p w14:paraId="2E7E6FB1" w14:textId="77777777" w:rsidR="00C86951" w:rsidRPr="004A2F10" w:rsidRDefault="008C4D7C" w:rsidP="0025178F">
      <w:pPr>
        <w:pStyle w:val="ListParagraph"/>
        <w:numPr>
          <w:ilvl w:val="0"/>
          <w:numId w:val="20"/>
        </w:numPr>
        <w:ind w:left="426" w:hanging="426"/>
        <w:jc w:val="both"/>
      </w:pPr>
      <w:r w:rsidRPr="004A2F10">
        <w:t xml:space="preserve">The </w:t>
      </w:r>
      <w:r w:rsidR="003006FB">
        <w:t>I</w:t>
      </w:r>
      <w:r w:rsidRPr="004A2F10">
        <w:t xml:space="preserve">mplementation </w:t>
      </w:r>
      <w:r w:rsidR="003006FB">
        <w:t>P</w:t>
      </w:r>
      <w:r w:rsidRPr="004A2F10">
        <w:t>lan will set out</w:t>
      </w:r>
      <w:r w:rsidR="003006FB">
        <w:t xml:space="preserve"> any</w:t>
      </w:r>
      <w:r w:rsidR="00C86951">
        <w:t xml:space="preserve"> </w:t>
      </w:r>
      <w:r w:rsidR="00F90DA0" w:rsidRPr="004A2F10">
        <w:t>fund</w:t>
      </w:r>
      <w:r w:rsidR="00C86951">
        <w:t>ing</w:t>
      </w:r>
      <w:r w:rsidRPr="004A2F10">
        <w:t xml:space="preserve"> required to deliver infrastructure</w:t>
      </w:r>
      <w:r w:rsidR="00C86951">
        <w:t>.</w:t>
      </w:r>
      <w:r w:rsidRPr="004A2F10">
        <w:t xml:space="preserve"> </w:t>
      </w:r>
    </w:p>
    <w:p w14:paraId="438F9D1C" w14:textId="77777777" w:rsidR="00A15B27" w:rsidRPr="00F25F85" w:rsidRDefault="00A15B27" w:rsidP="0025178F">
      <w:pPr>
        <w:pStyle w:val="ListParagraph"/>
        <w:numPr>
          <w:ilvl w:val="0"/>
          <w:numId w:val="20"/>
        </w:numPr>
        <w:ind w:left="426" w:hanging="426"/>
        <w:jc w:val="both"/>
      </w:pPr>
      <w:r w:rsidRPr="004A2F10">
        <w:rPr>
          <w:rStyle w:val="bParagraphtextChar"/>
        </w:rPr>
        <w:t xml:space="preserve">The ZCOP target </w:t>
      </w:r>
      <w:r w:rsidRPr="004A2F10">
        <w:t>to be zero carbon by 2040 require</w:t>
      </w:r>
      <w:r w:rsidR="003006FB">
        <w:t>s</w:t>
      </w:r>
      <w:r w:rsidRPr="004A2F10">
        <w:t xml:space="preserve"> a significant injection of funds to allow the required 7500 ktCO</w:t>
      </w:r>
      <w:r w:rsidRPr="004A2F10">
        <w:rPr>
          <w:vertAlign w:val="subscript"/>
        </w:rPr>
        <w:t>2</w:t>
      </w:r>
      <w:r w:rsidRPr="004A2F10">
        <w:t xml:space="preserve"> of carbon reduction by 2040 to be achieved</w:t>
      </w:r>
      <w:r w:rsidRPr="004A2F10">
        <w:rPr>
          <w:bCs/>
        </w:rPr>
        <w:t>.</w:t>
      </w:r>
    </w:p>
    <w:p w14:paraId="590A535C" w14:textId="77777777" w:rsidR="001E2055" w:rsidRDefault="004A2F10" w:rsidP="0025178F">
      <w:pPr>
        <w:pStyle w:val="ListParagraph"/>
        <w:numPr>
          <w:ilvl w:val="0"/>
          <w:numId w:val="20"/>
        </w:numPr>
        <w:ind w:left="426" w:hanging="426"/>
        <w:jc w:val="both"/>
      </w:pPr>
      <w:r w:rsidRPr="004A2F10">
        <w:t>The Council does not have funding in its Forward Plan to provide public EV charging infrastructure</w:t>
      </w:r>
      <w:r w:rsidR="000C705F">
        <w:t xml:space="preserve">. </w:t>
      </w:r>
      <w:r w:rsidR="00C86951">
        <w:t xml:space="preserve">Funding will be sought from </w:t>
      </w:r>
      <w:r w:rsidR="0032774D">
        <w:t xml:space="preserve">Government </w:t>
      </w:r>
      <w:r w:rsidR="000C705F">
        <w:t>grants and by procuring</w:t>
      </w:r>
      <w:r w:rsidR="00C86951" w:rsidRPr="004A2F10">
        <w:t xml:space="preserve"> commercial concession </w:t>
      </w:r>
      <w:r w:rsidR="000C705F">
        <w:t>contracts and/</w:t>
      </w:r>
      <w:r w:rsidR="00C86951" w:rsidRPr="004A2F10">
        <w:t>or Council</w:t>
      </w:r>
      <w:r w:rsidR="000C705F">
        <w:t>/ODSTL</w:t>
      </w:r>
      <w:r w:rsidR="00C86951" w:rsidRPr="004A2F10">
        <w:t xml:space="preserve"> investment</w:t>
      </w:r>
      <w:r w:rsidR="000C705F">
        <w:t xml:space="preserve">. </w:t>
      </w:r>
      <w:r w:rsidR="00C86951">
        <w:t xml:space="preserve"> </w:t>
      </w:r>
    </w:p>
    <w:p w14:paraId="778B23C5" w14:textId="7C2CCC95" w:rsidR="00C86951" w:rsidRDefault="000C705F" w:rsidP="0025178F">
      <w:pPr>
        <w:pStyle w:val="ListParagraph"/>
        <w:numPr>
          <w:ilvl w:val="0"/>
          <w:numId w:val="20"/>
        </w:numPr>
        <w:ind w:left="426" w:hanging="426"/>
        <w:jc w:val="both"/>
      </w:pPr>
      <w:r>
        <w:lastRenderedPageBreak/>
        <w:t xml:space="preserve">We will also explore use of </w:t>
      </w:r>
      <w:r w:rsidR="00C86951">
        <w:t xml:space="preserve">revenue gained from initiatives such as </w:t>
      </w:r>
      <w:r w:rsidR="004A3B6F">
        <w:t>Zero Emission Zone</w:t>
      </w:r>
      <w:r w:rsidR="003006FB">
        <w:t>,</w:t>
      </w:r>
      <w:r w:rsidR="00C86951">
        <w:t xml:space="preserve"> workplace charging</w:t>
      </w:r>
      <w:r w:rsidR="0082578C">
        <w:t xml:space="preserve"> schemes</w:t>
      </w:r>
      <w:r w:rsidR="003006FB">
        <w:t xml:space="preserve"> and income derived from existing EV contracts and the</w:t>
      </w:r>
      <w:r w:rsidR="005770FD">
        <w:t xml:space="preserve"> Council’s</w:t>
      </w:r>
      <w:r w:rsidR="003006FB">
        <w:t xml:space="preserve"> </w:t>
      </w:r>
      <w:r w:rsidR="005770FD">
        <w:t>Dynamic Purchasing System</w:t>
      </w:r>
      <w:r w:rsidR="00C86951" w:rsidRPr="004A2F10">
        <w:t>.</w:t>
      </w:r>
    </w:p>
    <w:p w14:paraId="2FE82C49" w14:textId="77777777" w:rsidR="000C705F" w:rsidRDefault="000C705F" w:rsidP="0025178F">
      <w:pPr>
        <w:pStyle w:val="ListParagraph"/>
        <w:numPr>
          <w:ilvl w:val="0"/>
          <w:numId w:val="20"/>
        </w:numPr>
        <w:ind w:left="426" w:hanging="426"/>
        <w:jc w:val="both"/>
      </w:pPr>
      <w:r>
        <w:t>Access to internal staff resource</w:t>
      </w:r>
      <w:r w:rsidRPr="004A2F10">
        <w:t xml:space="preserve"> will be required to </w:t>
      </w:r>
      <w:r>
        <w:t xml:space="preserve">support grant funding bids and </w:t>
      </w:r>
      <w:r w:rsidRPr="004A2F10">
        <w:t>manage infrastructure delivery</w:t>
      </w:r>
      <w:r>
        <w:t xml:space="preserve">. </w:t>
      </w:r>
      <w:r w:rsidRPr="004A2F10">
        <w:t xml:space="preserve"> This includes </w:t>
      </w:r>
      <w:r>
        <w:t xml:space="preserve">support from within </w:t>
      </w:r>
      <w:r w:rsidRPr="004A2F10">
        <w:t xml:space="preserve">key </w:t>
      </w:r>
      <w:r>
        <w:t xml:space="preserve">teams </w:t>
      </w:r>
      <w:r w:rsidRPr="004A2F10">
        <w:t xml:space="preserve">such as </w:t>
      </w:r>
      <w:r>
        <w:t>Procurement, P</w:t>
      </w:r>
      <w:r w:rsidRPr="004A2F10">
        <w:t>roperty</w:t>
      </w:r>
      <w:r>
        <w:t xml:space="preserve"> Services</w:t>
      </w:r>
      <w:r w:rsidRPr="004A2F10">
        <w:t xml:space="preserve">, </w:t>
      </w:r>
      <w:r>
        <w:t>Finance, P</w:t>
      </w:r>
      <w:r w:rsidRPr="004A2F10">
        <w:t xml:space="preserve">lanning, </w:t>
      </w:r>
      <w:r>
        <w:t>L</w:t>
      </w:r>
      <w:r w:rsidRPr="004A2F10">
        <w:t xml:space="preserve">egal and </w:t>
      </w:r>
      <w:r>
        <w:t xml:space="preserve">Environmental Sustainability. </w:t>
      </w:r>
    </w:p>
    <w:p w14:paraId="78F7BFC3" w14:textId="33317A63" w:rsidR="00A15B27" w:rsidRPr="00A913CE" w:rsidRDefault="003006FB" w:rsidP="0025178F">
      <w:pPr>
        <w:pStyle w:val="ListParagraph"/>
        <w:numPr>
          <w:ilvl w:val="0"/>
          <w:numId w:val="20"/>
        </w:numPr>
        <w:ind w:left="426" w:hanging="426"/>
        <w:jc w:val="both"/>
      </w:pPr>
      <w:r>
        <w:rPr>
          <w:bCs/>
        </w:rPr>
        <w:t xml:space="preserve">Some </w:t>
      </w:r>
      <w:r w:rsidR="00A15B27">
        <w:rPr>
          <w:bCs/>
        </w:rPr>
        <w:t xml:space="preserve">land assets </w:t>
      </w:r>
      <w:r>
        <w:rPr>
          <w:bCs/>
        </w:rPr>
        <w:t>will</w:t>
      </w:r>
      <w:r w:rsidR="00A15B27">
        <w:rPr>
          <w:bCs/>
        </w:rPr>
        <w:t xml:space="preserve"> gain an optimum value for development</w:t>
      </w:r>
      <w:r>
        <w:rPr>
          <w:bCs/>
        </w:rPr>
        <w:t xml:space="preserve"> and will not be suitable for EV Infrastructure, but</w:t>
      </w:r>
      <w:r w:rsidR="00A15B27">
        <w:rPr>
          <w:bCs/>
        </w:rPr>
        <w:t xml:space="preserve"> there is a need to consider</w:t>
      </w:r>
      <w:r w:rsidR="00A15B27">
        <w:rPr>
          <w:rFonts w:cs="Arial"/>
          <w:color w:val="1F497D"/>
        </w:rPr>
        <w:t xml:space="preserve"> </w:t>
      </w:r>
      <w:r w:rsidR="00A15B27" w:rsidRPr="00160D3F">
        <w:rPr>
          <w:bCs/>
        </w:rPr>
        <w:t>investing in o</w:t>
      </w:r>
      <w:r>
        <w:rPr>
          <w:bCs/>
        </w:rPr>
        <w:t>ther</w:t>
      </w:r>
      <w:r w:rsidR="00A15B27" w:rsidRPr="00160D3F">
        <w:rPr>
          <w:bCs/>
        </w:rPr>
        <w:t xml:space="preserve"> assets</w:t>
      </w:r>
      <w:r w:rsidR="00A15B27">
        <w:rPr>
          <w:bCs/>
        </w:rPr>
        <w:t xml:space="preserve"> to future proof them</w:t>
      </w:r>
      <w:r w:rsidR="00997D75">
        <w:rPr>
          <w:bCs/>
        </w:rPr>
        <w:t xml:space="preserve"> and create additional value/revenue streams</w:t>
      </w:r>
      <w:r w:rsidR="00A15B27" w:rsidRPr="00160D3F">
        <w:rPr>
          <w:bCs/>
        </w:rPr>
        <w:t xml:space="preserve">, especially </w:t>
      </w:r>
      <w:r>
        <w:rPr>
          <w:bCs/>
        </w:rPr>
        <w:t xml:space="preserve">brownfield sites, </w:t>
      </w:r>
      <w:proofErr w:type="spellStart"/>
      <w:r w:rsidR="00A15B27" w:rsidRPr="00160D3F">
        <w:rPr>
          <w:bCs/>
        </w:rPr>
        <w:t>carparks</w:t>
      </w:r>
      <w:proofErr w:type="spellEnd"/>
      <w:r w:rsidR="00A15B27" w:rsidRPr="00160D3F">
        <w:rPr>
          <w:bCs/>
        </w:rPr>
        <w:t xml:space="preserve"> or </w:t>
      </w:r>
      <w:r w:rsidR="00A15B27">
        <w:rPr>
          <w:bCs/>
        </w:rPr>
        <w:t xml:space="preserve">unused </w:t>
      </w:r>
      <w:r w:rsidR="00A15B27" w:rsidRPr="00160D3F">
        <w:rPr>
          <w:bCs/>
        </w:rPr>
        <w:t>garages, to avoid them becoming redundant</w:t>
      </w:r>
      <w:r w:rsidR="00A15B27">
        <w:rPr>
          <w:bCs/>
        </w:rPr>
        <w:t xml:space="preserve"> </w:t>
      </w:r>
      <w:r w:rsidR="00A15B27" w:rsidRPr="00160D3F">
        <w:rPr>
          <w:bCs/>
        </w:rPr>
        <w:t>as wider ZEZ zones go live, active travel provision grows and the reduction in parking is implemented.</w:t>
      </w:r>
    </w:p>
    <w:p w14:paraId="53849479" w14:textId="2F3DC687" w:rsidR="003D4AB4" w:rsidRPr="004A2F10" w:rsidRDefault="005770FD" w:rsidP="00D8602D">
      <w:pPr>
        <w:pStyle w:val="ListParagraph"/>
        <w:numPr>
          <w:ilvl w:val="0"/>
          <w:numId w:val="20"/>
        </w:numPr>
        <w:ind w:left="426" w:hanging="426"/>
        <w:jc w:val="both"/>
      </w:pPr>
      <w:r>
        <w:rPr>
          <w:bCs/>
        </w:rPr>
        <w:t>To minimise the public funding requirement, the Strategy proposes to enable solutions that allow private sector investment, such as commercial, private landowner and household investment</w:t>
      </w:r>
      <w:r w:rsidR="002D5F6E">
        <w:rPr>
          <w:bCs/>
        </w:rPr>
        <w:t>. T</w:t>
      </w:r>
      <w:r w:rsidR="001E2055">
        <w:rPr>
          <w:bCs/>
        </w:rPr>
        <w:t xml:space="preserve">he Gul-e solution </w:t>
      </w:r>
      <w:r w:rsidR="002D5F6E">
        <w:rPr>
          <w:bCs/>
        </w:rPr>
        <w:t>also requires minimal public funding, as it will be</w:t>
      </w:r>
      <w:r w:rsidR="001E2055">
        <w:rPr>
          <w:bCs/>
        </w:rPr>
        <w:t xml:space="preserve"> self-funded by the householder</w:t>
      </w:r>
      <w:r w:rsidR="002D5F6E">
        <w:rPr>
          <w:bCs/>
        </w:rPr>
        <w:t xml:space="preserve">, reducing the requirement for funding to provide equivalent solutions to meet the on-street demand. </w:t>
      </w:r>
      <w:r>
        <w:rPr>
          <w:bCs/>
        </w:rPr>
        <w:t xml:space="preserve">The proposed procurement strategy, zone based procurement, will enable private landowners to deliver public charging on private land, the cable gully (GUL-e) will enable householders to invest in home chargers rather than relying on public supply. </w:t>
      </w:r>
    </w:p>
    <w:p w14:paraId="2040D0E2" w14:textId="77777777" w:rsidR="008C4D7C" w:rsidRPr="00997D75" w:rsidRDefault="008C4D7C" w:rsidP="0025178F">
      <w:pPr>
        <w:pStyle w:val="Heading1"/>
        <w:ind w:left="426" w:hanging="426"/>
      </w:pPr>
      <w:r w:rsidRPr="00997D75">
        <w:t>Legal issues</w:t>
      </w:r>
    </w:p>
    <w:p w14:paraId="719A294B" w14:textId="77777777" w:rsidR="00702BB4" w:rsidRDefault="00A15B27" w:rsidP="006747C4">
      <w:pPr>
        <w:pStyle w:val="ListParagraph"/>
        <w:numPr>
          <w:ilvl w:val="0"/>
          <w:numId w:val="20"/>
        </w:numPr>
        <w:ind w:left="426" w:hanging="426"/>
      </w:pPr>
      <w:r w:rsidRPr="00997D75">
        <w:t>Legal input will be required to create land leases and supporting agreements for commercial use of Council land as well as template leases for private landlords.</w:t>
      </w:r>
    </w:p>
    <w:p w14:paraId="422F0F1E" w14:textId="77777777" w:rsidR="000C705F" w:rsidRPr="0082578C" w:rsidRDefault="008C4D7C" w:rsidP="006747C4">
      <w:pPr>
        <w:pStyle w:val="Heading1"/>
        <w:ind w:left="426" w:hanging="426"/>
      </w:pPr>
      <w:r w:rsidRPr="001356F1">
        <w:t>Level</w:t>
      </w:r>
      <w:r w:rsidR="0025178F">
        <w:t>s</w:t>
      </w:r>
      <w:r w:rsidRPr="001356F1">
        <w:t xml:space="preserve"> of risk</w:t>
      </w:r>
    </w:p>
    <w:p w14:paraId="2263C8E4" w14:textId="77777777" w:rsidR="0082578C" w:rsidRDefault="000C705F" w:rsidP="00C1104C">
      <w:pPr>
        <w:pStyle w:val="ListParagraph"/>
        <w:numPr>
          <w:ilvl w:val="0"/>
          <w:numId w:val="20"/>
        </w:numPr>
      </w:pPr>
      <w:r w:rsidRPr="0025178F">
        <w:t xml:space="preserve">There are a </w:t>
      </w:r>
      <w:r w:rsidR="0082578C" w:rsidRPr="0025178F">
        <w:t xml:space="preserve">few </w:t>
      </w:r>
      <w:r w:rsidRPr="0025178F">
        <w:t>risks associated</w:t>
      </w:r>
      <w:r w:rsidR="0082578C" w:rsidRPr="0025178F">
        <w:t xml:space="preserve"> with this strategy. </w:t>
      </w:r>
    </w:p>
    <w:p w14:paraId="691EA83F" w14:textId="77777777" w:rsidR="0082578C" w:rsidRDefault="003341EE" w:rsidP="0025178F">
      <w:pPr>
        <w:pStyle w:val="ListParagraph"/>
        <w:numPr>
          <w:ilvl w:val="1"/>
          <w:numId w:val="20"/>
        </w:numPr>
        <w:jc w:val="both"/>
      </w:pPr>
      <w:r w:rsidRPr="00997D75">
        <w:rPr>
          <w:b/>
        </w:rPr>
        <w:t>Resource</w:t>
      </w:r>
      <w:r w:rsidR="0082578C">
        <w:t>; there may be i</w:t>
      </w:r>
      <w:r w:rsidRPr="003341EE">
        <w:t xml:space="preserve">nsufficient internal resource across relevant departments to implement </w:t>
      </w:r>
      <w:r w:rsidR="00997D75">
        <w:t xml:space="preserve">this </w:t>
      </w:r>
      <w:r w:rsidRPr="003341EE">
        <w:t>Strategy</w:t>
      </w:r>
      <w:r>
        <w:t xml:space="preserve">. </w:t>
      </w:r>
    </w:p>
    <w:p w14:paraId="5829556C" w14:textId="67A879D9" w:rsidR="0082578C" w:rsidRDefault="003341EE" w:rsidP="0025178F">
      <w:pPr>
        <w:pStyle w:val="ListParagraph"/>
        <w:numPr>
          <w:ilvl w:val="0"/>
          <w:numId w:val="0"/>
        </w:numPr>
        <w:ind w:left="1440"/>
        <w:jc w:val="both"/>
      </w:pPr>
      <w:r>
        <w:t>Mitigation:</w:t>
      </w:r>
      <w:r w:rsidR="00066605">
        <w:t xml:space="preserve"> </w:t>
      </w:r>
      <w:r w:rsidR="00066605" w:rsidRPr="00066605">
        <w:t>EV charging is a key driver of the corporate strategic objectiv</w:t>
      </w:r>
      <w:r w:rsidR="00066605">
        <w:t xml:space="preserve">e to pursue a net zero Oxford. </w:t>
      </w:r>
      <w:r w:rsidR="00066605" w:rsidRPr="00066605">
        <w:t xml:space="preserve">Close working with key </w:t>
      </w:r>
      <w:r w:rsidR="004C570D">
        <w:t xml:space="preserve">Oxford City Council </w:t>
      </w:r>
      <w:r w:rsidR="00066605" w:rsidRPr="00066605">
        <w:t xml:space="preserve">departments is already taking place, </w:t>
      </w:r>
      <w:r w:rsidR="00066605">
        <w:t xml:space="preserve">and creation of </w:t>
      </w:r>
      <w:r w:rsidR="00066605" w:rsidRPr="00066605">
        <w:t>data</w:t>
      </w:r>
      <w:r w:rsidR="00066605">
        <w:t>-sets</w:t>
      </w:r>
      <w:r w:rsidR="00066605" w:rsidRPr="00066605">
        <w:t xml:space="preserve"> to help inform decisions already underway.</w:t>
      </w:r>
      <w:r w:rsidR="00D17D29">
        <w:t xml:space="preserve"> The strategy work will support Property Services, Housing, ODS, Regeneration and Planning by providing Advice Notes and/or protocols around EV Infrastructure. </w:t>
      </w:r>
    </w:p>
    <w:p w14:paraId="44BEF696" w14:textId="45575911" w:rsidR="0082578C" w:rsidRDefault="003341EE" w:rsidP="0025178F">
      <w:pPr>
        <w:pStyle w:val="ListParagraph"/>
        <w:numPr>
          <w:ilvl w:val="1"/>
          <w:numId w:val="20"/>
        </w:numPr>
        <w:jc w:val="both"/>
      </w:pPr>
      <w:r w:rsidRPr="0025178F">
        <w:rPr>
          <w:b/>
        </w:rPr>
        <w:t>Planning Legislation</w:t>
      </w:r>
      <w:r w:rsidR="0082578C">
        <w:rPr>
          <w:b/>
        </w:rPr>
        <w:t xml:space="preserve">; </w:t>
      </w:r>
      <w:r w:rsidR="0082578C">
        <w:t>p</w:t>
      </w:r>
      <w:r w:rsidRPr="003341EE">
        <w:t xml:space="preserve">lanning and other legislation </w:t>
      </w:r>
      <w:r w:rsidR="00997D75">
        <w:t>has</w:t>
      </w:r>
      <w:r w:rsidRPr="003341EE">
        <w:t xml:space="preserve"> </w:t>
      </w:r>
      <w:r>
        <w:t xml:space="preserve">not </w:t>
      </w:r>
      <w:r w:rsidR="00997D75">
        <w:t>been updated</w:t>
      </w:r>
      <w:r>
        <w:t xml:space="preserve"> </w:t>
      </w:r>
      <w:r w:rsidR="00997D75">
        <w:t xml:space="preserve">by </w:t>
      </w:r>
      <w:r w:rsidR="004C570D">
        <w:t xml:space="preserve">Government </w:t>
      </w:r>
      <w:r>
        <w:t>to sup</w:t>
      </w:r>
      <w:r w:rsidRPr="003341EE">
        <w:t>port equitable roll out of EV charging infrastructure</w:t>
      </w:r>
      <w:r w:rsidR="00066605">
        <w:t xml:space="preserve">. </w:t>
      </w:r>
    </w:p>
    <w:p w14:paraId="6D06B6F9" w14:textId="0D4D030D" w:rsidR="0082578C" w:rsidRDefault="00066605" w:rsidP="0025178F">
      <w:pPr>
        <w:pStyle w:val="ListParagraph"/>
        <w:numPr>
          <w:ilvl w:val="0"/>
          <w:numId w:val="0"/>
        </w:numPr>
        <w:ind w:left="1440"/>
        <w:jc w:val="both"/>
      </w:pPr>
      <w:r>
        <w:t>Mitigation:</w:t>
      </w:r>
      <w:r w:rsidRPr="00066605">
        <w:t xml:space="preserve"> National changes </w:t>
      </w:r>
      <w:r w:rsidR="00CB6A47">
        <w:t xml:space="preserve">to planning laws </w:t>
      </w:r>
      <w:r w:rsidR="00D17D29">
        <w:t xml:space="preserve">are </w:t>
      </w:r>
      <w:r w:rsidRPr="00066605">
        <w:t xml:space="preserve">expected </w:t>
      </w:r>
      <w:r w:rsidR="00D17D29">
        <w:t xml:space="preserve">in </w:t>
      </w:r>
      <w:r w:rsidR="00F109C1" w:rsidRPr="00066605">
        <w:t>summer</w:t>
      </w:r>
      <w:r w:rsidRPr="00066605">
        <w:t xml:space="preserve"> 2023 which should reduce the impact of current legi</w:t>
      </w:r>
      <w:r w:rsidR="00CB6A47">
        <w:t xml:space="preserve">slation constraining deployment. </w:t>
      </w:r>
      <w:r w:rsidR="00D17D29">
        <w:t xml:space="preserve">The </w:t>
      </w:r>
      <w:r w:rsidR="004C570D">
        <w:t xml:space="preserve">Sustainable </w:t>
      </w:r>
      <w:r w:rsidR="00D17D29">
        <w:t>Innovation team are w</w:t>
      </w:r>
      <w:r w:rsidRPr="00066605">
        <w:t>orking closely with planning</w:t>
      </w:r>
      <w:r w:rsidR="00CB6A47">
        <w:t xml:space="preserve"> colleagues</w:t>
      </w:r>
      <w:r w:rsidRPr="00066605">
        <w:t xml:space="preserve"> to </w:t>
      </w:r>
      <w:r w:rsidR="00D17D29">
        <w:t>simplify</w:t>
      </w:r>
      <w:r w:rsidR="00D17D29" w:rsidRPr="00066605">
        <w:t xml:space="preserve"> </w:t>
      </w:r>
      <w:r w:rsidRPr="00066605">
        <w:t xml:space="preserve">challenges </w:t>
      </w:r>
      <w:r w:rsidR="00997D75">
        <w:t>in</w:t>
      </w:r>
      <w:r w:rsidRPr="00066605">
        <w:t xml:space="preserve"> heritage areas</w:t>
      </w:r>
      <w:r w:rsidR="00D17D29">
        <w:t xml:space="preserve"> and will continue to lobby</w:t>
      </w:r>
      <w:r w:rsidRPr="00066605">
        <w:t xml:space="preserve"> government consultations regarding </w:t>
      </w:r>
      <w:r w:rsidR="00997D75">
        <w:t xml:space="preserve">the changes to national </w:t>
      </w:r>
      <w:r w:rsidRPr="00066605">
        <w:t>planning</w:t>
      </w:r>
      <w:r w:rsidR="00997D75">
        <w:t xml:space="preserve"> policy needed</w:t>
      </w:r>
      <w:r w:rsidR="00D17D29">
        <w:t>.</w:t>
      </w:r>
    </w:p>
    <w:p w14:paraId="35A67089" w14:textId="77777777" w:rsidR="0082578C" w:rsidRDefault="003341EE" w:rsidP="0025178F">
      <w:pPr>
        <w:pStyle w:val="ListParagraph"/>
        <w:numPr>
          <w:ilvl w:val="1"/>
          <w:numId w:val="20"/>
        </w:numPr>
        <w:jc w:val="both"/>
      </w:pPr>
      <w:r w:rsidRPr="006747C4">
        <w:rPr>
          <w:b/>
        </w:rPr>
        <w:t>Land availability</w:t>
      </w:r>
      <w:r w:rsidR="0082578C">
        <w:t xml:space="preserve">; </w:t>
      </w:r>
      <w:r w:rsidR="00D17D29">
        <w:t>finding suitable locations for EV infrastructure on Council and other city land. U</w:t>
      </w:r>
      <w:r w:rsidRPr="003341EE">
        <w:t xml:space="preserve">nder current land value assessment criteria, the EV charging business case is not attractive enough to </w:t>
      </w:r>
      <w:r w:rsidR="0082578C">
        <w:t>trump</w:t>
      </w:r>
      <w:r w:rsidRPr="003341EE">
        <w:t xml:space="preserve"> development opportunities</w:t>
      </w:r>
      <w:r>
        <w:t xml:space="preserve">. </w:t>
      </w:r>
    </w:p>
    <w:p w14:paraId="4D37F7D5" w14:textId="77777777" w:rsidR="00F04815" w:rsidRDefault="00066605" w:rsidP="0025178F">
      <w:pPr>
        <w:pStyle w:val="ListParagraph"/>
        <w:numPr>
          <w:ilvl w:val="0"/>
          <w:numId w:val="0"/>
        </w:numPr>
        <w:ind w:left="1440"/>
        <w:jc w:val="both"/>
      </w:pPr>
      <w:r>
        <w:t>Mitigation</w:t>
      </w:r>
      <w:r w:rsidR="003341EE">
        <w:t>:</w:t>
      </w:r>
      <w:r>
        <w:t xml:space="preserve"> </w:t>
      </w:r>
      <w:r w:rsidR="00F04815">
        <w:t>A working group will be set up</w:t>
      </w:r>
      <w:r w:rsidRPr="00066605">
        <w:t xml:space="preserve"> with property</w:t>
      </w:r>
      <w:r w:rsidR="00F04815">
        <w:t xml:space="preserve"> services, communities, housing, </w:t>
      </w:r>
      <w:proofErr w:type="spellStart"/>
      <w:r w:rsidR="00F04815">
        <w:t>regen</w:t>
      </w:r>
      <w:proofErr w:type="spellEnd"/>
      <w:r w:rsidR="00F04815">
        <w:t xml:space="preserve"> and others to assess all land owned by the Council for future </w:t>
      </w:r>
      <w:r w:rsidR="00F04815">
        <w:lastRenderedPageBreak/>
        <w:t xml:space="preserve">use opportunities including </w:t>
      </w:r>
      <w:r w:rsidR="00997D75">
        <w:t xml:space="preserve">development, </w:t>
      </w:r>
      <w:r w:rsidR="00F04815">
        <w:t>sustainable infrastructure development (such as EV, solar farms, battery sites).</w:t>
      </w:r>
    </w:p>
    <w:p w14:paraId="772B8BD4" w14:textId="77777777" w:rsidR="003341EE" w:rsidRDefault="00F04815" w:rsidP="0025178F">
      <w:pPr>
        <w:pStyle w:val="ListParagraph"/>
        <w:numPr>
          <w:ilvl w:val="0"/>
          <w:numId w:val="0"/>
        </w:numPr>
        <w:ind w:left="1440"/>
        <w:jc w:val="both"/>
      </w:pPr>
      <w:r>
        <w:t>The city will m</w:t>
      </w:r>
      <w:r w:rsidR="00066605" w:rsidRPr="00066605">
        <w:t>aximise current and already approved development opportunities to add in EV provision. Us</w:t>
      </w:r>
      <w:r>
        <w:t>ing</w:t>
      </w:r>
      <w:r w:rsidR="00066605" w:rsidRPr="00066605">
        <w:t xml:space="preserve"> data layers created in </w:t>
      </w:r>
      <w:proofErr w:type="spellStart"/>
      <w:r w:rsidR="00066605" w:rsidRPr="00066605">
        <w:t>OxEVIS</w:t>
      </w:r>
      <w:proofErr w:type="spellEnd"/>
      <w:r w:rsidR="00066605" w:rsidRPr="00066605">
        <w:t xml:space="preserve"> and LEO projects to inform location selection and business plans</w:t>
      </w:r>
      <w:r w:rsidR="00D17D29">
        <w:t>.</w:t>
      </w:r>
    </w:p>
    <w:p w14:paraId="5CA041F8" w14:textId="77777777" w:rsidR="00F04815" w:rsidRDefault="00F04815" w:rsidP="0025178F">
      <w:pPr>
        <w:pStyle w:val="ListParagraph"/>
        <w:numPr>
          <w:ilvl w:val="0"/>
          <w:numId w:val="0"/>
        </w:numPr>
        <w:ind w:left="1440"/>
        <w:jc w:val="both"/>
      </w:pPr>
      <w:r>
        <w:t xml:space="preserve">We will work with private landowners where possible to support EV infrastructure roll outs that provide benefit to the city. </w:t>
      </w:r>
    </w:p>
    <w:p w14:paraId="0B0FADF9" w14:textId="05664FC8" w:rsidR="00160D3F" w:rsidRPr="00134EDC" w:rsidRDefault="00160D3F" w:rsidP="00C1104C">
      <w:pPr>
        <w:pStyle w:val="ListParagraph"/>
        <w:numPr>
          <w:ilvl w:val="0"/>
          <w:numId w:val="20"/>
        </w:numPr>
        <w:tabs>
          <w:tab w:val="clear" w:pos="426"/>
          <w:tab w:val="left" w:pos="448"/>
        </w:tabs>
        <w:ind w:left="448" w:hanging="448"/>
      </w:pPr>
      <w:r w:rsidRPr="0025178F">
        <w:rPr>
          <w:color w:val="auto"/>
        </w:rPr>
        <w:t>A risk regi</w:t>
      </w:r>
      <w:r w:rsidR="00C1104C">
        <w:rPr>
          <w:color w:val="auto"/>
        </w:rPr>
        <w:t>ster is attached (see Appendix 2</w:t>
      </w:r>
      <w:r w:rsidRPr="0025178F">
        <w:rPr>
          <w:color w:val="auto"/>
        </w:rPr>
        <w:t xml:space="preserve">), outlining the potential known risks. </w:t>
      </w:r>
    </w:p>
    <w:p w14:paraId="7391EBFE" w14:textId="77777777" w:rsidR="0082578C" w:rsidRDefault="0082578C" w:rsidP="006747C4">
      <w:pPr>
        <w:ind w:left="426" w:hanging="426"/>
        <w:rPr>
          <w:b/>
        </w:rPr>
      </w:pPr>
    </w:p>
    <w:p w14:paraId="40175480" w14:textId="77777777" w:rsidR="00FB79CB" w:rsidRDefault="00FB79CB" w:rsidP="006747C4">
      <w:pPr>
        <w:ind w:left="426" w:hanging="426"/>
        <w:rPr>
          <w:b/>
        </w:rPr>
      </w:pPr>
      <w:r w:rsidRPr="004A2F10">
        <w:rPr>
          <w:b/>
        </w:rPr>
        <w:t xml:space="preserve">Environmental </w:t>
      </w:r>
      <w:r w:rsidR="00F710CA" w:rsidRPr="004A2F10">
        <w:rPr>
          <w:b/>
        </w:rPr>
        <w:t>considerations</w:t>
      </w:r>
    </w:p>
    <w:p w14:paraId="5A119BA0" w14:textId="77777777" w:rsidR="0082578C" w:rsidRDefault="0082578C" w:rsidP="0082578C">
      <w:pPr>
        <w:pStyle w:val="ListParagraph"/>
        <w:numPr>
          <w:ilvl w:val="0"/>
          <w:numId w:val="20"/>
        </w:numPr>
        <w:ind w:left="426" w:hanging="426"/>
        <w:jc w:val="both"/>
      </w:pPr>
      <w:proofErr w:type="spellStart"/>
      <w:r>
        <w:t>OxEVIS</w:t>
      </w:r>
      <w:proofErr w:type="spellEnd"/>
      <w:r>
        <w:t xml:space="preserve"> </w:t>
      </w:r>
      <w:r w:rsidR="00A15B27" w:rsidRPr="00A35B6F">
        <w:t xml:space="preserve">aligns with </w:t>
      </w:r>
      <w:r w:rsidR="0025178F">
        <w:t xml:space="preserve">the </w:t>
      </w:r>
      <w:r w:rsidR="00A15B27" w:rsidRPr="00A35B6F">
        <w:t xml:space="preserve">Council’s policies and commitments relating to carbon reduction and safeguarding the environment, bringing us closer to our commitment to becoming a Zero Carbon Council by 2030 or earlier and Zero Carbon Oxford by 2040. </w:t>
      </w:r>
    </w:p>
    <w:p w14:paraId="708C1CE4" w14:textId="77777777" w:rsidR="0025178F" w:rsidRDefault="0025178F">
      <w:pPr>
        <w:pStyle w:val="ListParagraph"/>
        <w:numPr>
          <w:ilvl w:val="0"/>
          <w:numId w:val="20"/>
        </w:numPr>
        <w:ind w:left="426" w:hanging="426"/>
        <w:jc w:val="both"/>
      </w:pPr>
      <w:r w:rsidRPr="00A35B6F">
        <w:t>However, it should be noted that particulate matter (PM) emanating from braking systems, tyres road surface wear and road dust suspension are also produced by EVs. Ambient PM exposure is associated with health harms and premature mortalit</w:t>
      </w:r>
      <w:r w:rsidR="003D4AB4">
        <w:t xml:space="preserve">y, so electrification is pursued alongside measures that support an overall reduction in car ownership, such as electric car clubs, and integrated into the wider transport planning framework supporting active and public transport. </w:t>
      </w:r>
    </w:p>
    <w:p w14:paraId="4A3D59E1" w14:textId="77777777" w:rsidR="0025178F" w:rsidRDefault="00D37103" w:rsidP="006747C4">
      <w:pPr>
        <w:pStyle w:val="ListParagraph"/>
        <w:numPr>
          <w:ilvl w:val="0"/>
          <w:numId w:val="20"/>
        </w:numPr>
        <w:ind w:left="426" w:hanging="426"/>
        <w:jc w:val="both"/>
        <w:textAlignment w:val="baseline"/>
      </w:pPr>
      <w:proofErr w:type="spellStart"/>
      <w:r>
        <w:t>OxEVIS</w:t>
      </w:r>
      <w:proofErr w:type="spellEnd"/>
      <w:r>
        <w:t xml:space="preserve"> supports delivery of </w:t>
      </w:r>
      <w:r w:rsidR="0025178F">
        <w:t>the following key council priorities:</w:t>
      </w:r>
    </w:p>
    <w:p w14:paraId="2EADDABD" w14:textId="77777777" w:rsidR="00F04815" w:rsidRDefault="00F04815" w:rsidP="00F04815">
      <w:pPr>
        <w:pStyle w:val="ListParagraph"/>
        <w:numPr>
          <w:ilvl w:val="1"/>
          <w:numId w:val="20"/>
        </w:numPr>
        <w:jc w:val="both"/>
      </w:pPr>
      <w:r>
        <w:t>The 4</w:t>
      </w:r>
      <w:r w:rsidRPr="00C905E7">
        <w:rPr>
          <w:vertAlign w:val="superscript"/>
        </w:rPr>
        <w:t>th</w:t>
      </w:r>
      <w:r>
        <w:t xml:space="preserve"> Carbon Management Plan 2021 – 2030: The Strategy will support the development of a plan to decarbonise the City Council’s fleet vehicles. </w:t>
      </w:r>
    </w:p>
    <w:p w14:paraId="5EAD61DF" w14:textId="77777777" w:rsidR="00F04815" w:rsidRPr="0077101F" w:rsidRDefault="00F04815" w:rsidP="00F04815">
      <w:pPr>
        <w:pStyle w:val="ListParagraph"/>
        <w:numPr>
          <w:ilvl w:val="1"/>
          <w:numId w:val="20"/>
        </w:numPr>
        <w:jc w:val="both"/>
      </w:pPr>
      <w:r>
        <w:t xml:space="preserve">The Net Zero Oxford Action Plan: Net Zero by 2040 requires decarbonisation of road </w:t>
      </w:r>
      <w:r w:rsidRPr="0077101F">
        <w:t xml:space="preserve">transport. </w:t>
      </w:r>
    </w:p>
    <w:p w14:paraId="3C90805A" w14:textId="77777777" w:rsidR="00F04815" w:rsidRPr="0077101F" w:rsidRDefault="00F04815" w:rsidP="00F04815">
      <w:pPr>
        <w:pStyle w:val="ListParagraph"/>
        <w:numPr>
          <w:ilvl w:val="1"/>
          <w:numId w:val="20"/>
        </w:numPr>
        <w:jc w:val="both"/>
      </w:pPr>
      <w:r w:rsidRPr="0077101F">
        <w:t>The Council Strategy 2020 – 2024: Includes the priority to pursue a zero carbon Oxford</w:t>
      </w:r>
    </w:p>
    <w:p w14:paraId="0E98DC75" w14:textId="77777777" w:rsidR="00F04815" w:rsidRPr="0077101F" w:rsidRDefault="00F04815" w:rsidP="00F04815">
      <w:pPr>
        <w:pStyle w:val="ListParagraph"/>
        <w:numPr>
          <w:ilvl w:val="1"/>
          <w:numId w:val="20"/>
        </w:numPr>
        <w:jc w:val="both"/>
      </w:pPr>
      <w:r w:rsidRPr="0077101F">
        <w:t>Oxford Local Plan 2036</w:t>
      </w:r>
      <w:r>
        <w:t xml:space="preserve">: Includes commitments to provide EV infrastructure with new developments. </w:t>
      </w:r>
    </w:p>
    <w:p w14:paraId="194E2D3A" w14:textId="77777777" w:rsidR="0025178F" w:rsidRPr="006E3F33" w:rsidRDefault="00F04815" w:rsidP="006747C4">
      <w:pPr>
        <w:pStyle w:val="ListParagraph"/>
        <w:numPr>
          <w:ilvl w:val="1"/>
          <w:numId w:val="20"/>
        </w:numPr>
        <w:jc w:val="both"/>
      </w:pPr>
      <w:r>
        <w:t>Air Quality Action Plan 2021 – 2025: Requires the reduction in usage of fossil fuel cars in the city.</w:t>
      </w:r>
    </w:p>
    <w:p w14:paraId="6729D0CD" w14:textId="77777777" w:rsidR="00B613C9" w:rsidRPr="004A2F10" w:rsidRDefault="00B613C9" w:rsidP="00CC0FCE">
      <w:pPr>
        <w:rPr>
          <w:b/>
        </w:rPr>
      </w:pPr>
    </w:p>
    <w:p w14:paraId="4A3C344B" w14:textId="77777777" w:rsidR="00FB79CB" w:rsidRPr="004A2F10" w:rsidRDefault="00FB79CB" w:rsidP="00CC0FCE">
      <w:pPr>
        <w:ind w:left="426" w:hanging="426"/>
        <w:rPr>
          <w:b/>
        </w:rPr>
      </w:pPr>
      <w:r w:rsidRPr="004A2F10">
        <w:rPr>
          <w:b/>
        </w:rPr>
        <w:t>Human Resource Implications</w:t>
      </w:r>
    </w:p>
    <w:p w14:paraId="02AF09B3" w14:textId="77777777" w:rsidR="00DE2D18" w:rsidRDefault="00A35B6F" w:rsidP="006747C4">
      <w:pPr>
        <w:pStyle w:val="ListParagraph"/>
        <w:numPr>
          <w:ilvl w:val="0"/>
          <w:numId w:val="20"/>
        </w:numPr>
        <w:ind w:left="426" w:hanging="426"/>
        <w:jc w:val="both"/>
      </w:pPr>
      <w:r w:rsidRPr="00A35B6F">
        <w:t>In</w:t>
      </w:r>
      <w:r>
        <w:t xml:space="preserve"> </w:t>
      </w:r>
      <w:r w:rsidRPr="00A35B6F">
        <w:t xml:space="preserve">order to </w:t>
      </w:r>
      <w:r>
        <w:t xml:space="preserve">deliver this strategy, resource from legal, property, planning, housing will be required. </w:t>
      </w:r>
    </w:p>
    <w:p w14:paraId="1013D373" w14:textId="77777777" w:rsidR="00A35B6F" w:rsidRDefault="00A35B6F" w:rsidP="006747C4">
      <w:pPr>
        <w:pStyle w:val="ListParagraph"/>
        <w:numPr>
          <w:ilvl w:val="0"/>
          <w:numId w:val="20"/>
        </w:numPr>
        <w:ind w:left="426" w:hanging="426"/>
        <w:jc w:val="both"/>
      </w:pPr>
      <w:r>
        <w:t>An implementation plan will be created which will set out the resource requirements in detail.</w:t>
      </w:r>
    </w:p>
    <w:p w14:paraId="63A397D4" w14:textId="77777777" w:rsidR="003D4AB4" w:rsidRDefault="003D4AB4" w:rsidP="006747C4">
      <w:pPr>
        <w:pStyle w:val="ListParagraph"/>
        <w:numPr>
          <w:ilvl w:val="0"/>
          <w:numId w:val="20"/>
        </w:numPr>
        <w:ind w:left="426" w:hanging="426"/>
        <w:jc w:val="both"/>
      </w:pPr>
      <w:r>
        <w:t xml:space="preserve">The </w:t>
      </w:r>
      <w:r w:rsidR="00890A1E">
        <w:t xml:space="preserve">strategy </w:t>
      </w:r>
      <w:r w:rsidR="004A3B6F">
        <w:t xml:space="preserve">does </w:t>
      </w:r>
      <w:r w:rsidR="00890A1E">
        <w:t>rel</w:t>
      </w:r>
      <w:r w:rsidR="004A3B6F">
        <w:t>y</w:t>
      </w:r>
      <w:r w:rsidR="00890A1E">
        <w:t xml:space="preserve"> on </w:t>
      </w:r>
      <w:r w:rsidR="004A3B6F">
        <w:t xml:space="preserve">maintaining a core team with </w:t>
      </w:r>
      <w:r w:rsidR="00890A1E">
        <w:t xml:space="preserve">EV subject matter expertise. This is acknowledged through active skills retention and succession planning. </w:t>
      </w:r>
    </w:p>
    <w:p w14:paraId="16048193" w14:textId="77777777" w:rsidR="00A35B6F" w:rsidRDefault="00F25F85" w:rsidP="006747C4">
      <w:pPr>
        <w:pStyle w:val="ListParagraph"/>
        <w:numPr>
          <w:ilvl w:val="0"/>
          <w:numId w:val="20"/>
        </w:numPr>
        <w:ind w:left="426" w:hanging="426"/>
        <w:jc w:val="both"/>
      </w:pPr>
      <w:r>
        <w:t xml:space="preserve">Few Government grants </w:t>
      </w:r>
      <w:r w:rsidR="00A35B6F">
        <w:t xml:space="preserve">allow revenue funding </w:t>
      </w:r>
      <w:r>
        <w:t xml:space="preserve">allocations in </w:t>
      </w:r>
      <w:r w:rsidR="00A35B6F">
        <w:t xml:space="preserve">bids </w:t>
      </w:r>
      <w:r>
        <w:t>or allow resource costs to be capitalised. Therefore it is unlikely grant funding alone will cover all resource costs for the Council and alternative funding will be required. Options to consider may include internal funding bids, income generators such as the EV DPS and subject matter expertise consultancy, or income generated by low carbon initiatives such as ZEZ charging, bus gates, polluter pays, overstay charges or future workplace charging levies.</w:t>
      </w:r>
    </w:p>
    <w:p w14:paraId="45EBAAE9" w14:textId="77777777" w:rsidR="00A35B6F" w:rsidRPr="00A35B6F" w:rsidRDefault="00A35B6F" w:rsidP="006747C4">
      <w:pPr>
        <w:pStyle w:val="Bulletpoints"/>
        <w:numPr>
          <w:ilvl w:val="0"/>
          <w:numId w:val="0"/>
        </w:numPr>
        <w:ind w:left="426" w:hanging="426"/>
      </w:pPr>
    </w:p>
    <w:p w14:paraId="7D08838F" w14:textId="77777777" w:rsidR="00DE2D18" w:rsidRDefault="00C85B4E" w:rsidP="006747C4">
      <w:pPr>
        <w:pStyle w:val="Bulletpoints"/>
        <w:numPr>
          <w:ilvl w:val="0"/>
          <w:numId w:val="0"/>
        </w:numPr>
        <w:ind w:left="426" w:hanging="426"/>
        <w:jc w:val="both"/>
        <w:rPr>
          <w:b/>
        </w:rPr>
      </w:pPr>
      <w:r w:rsidRPr="004A2F10">
        <w:rPr>
          <w:b/>
        </w:rPr>
        <w:t>C</w:t>
      </w:r>
      <w:r w:rsidR="00E87F7A" w:rsidRPr="004A2F10">
        <w:rPr>
          <w:b/>
        </w:rPr>
        <w:t xml:space="preserve">onsultation and </w:t>
      </w:r>
      <w:r w:rsidR="00DE2D18" w:rsidRPr="004A2F10">
        <w:rPr>
          <w:b/>
        </w:rPr>
        <w:t>C</w:t>
      </w:r>
      <w:r w:rsidR="00E87F7A" w:rsidRPr="004A2F10">
        <w:rPr>
          <w:b/>
        </w:rPr>
        <w:t xml:space="preserve">ommunications </w:t>
      </w:r>
      <w:r w:rsidR="00DE2D18" w:rsidRPr="004A2F10">
        <w:rPr>
          <w:b/>
        </w:rPr>
        <w:t>Implications</w:t>
      </w:r>
    </w:p>
    <w:p w14:paraId="4AABF9C3" w14:textId="77777777" w:rsidR="006747C4" w:rsidRDefault="00890A1E" w:rsidP="004A3B6F">
      <w:pPr>
        <w:pStyle w:val="Bulletpoints"/>
        <w:numPr>
          <w:ilvl w:val="0"/>
          <w:numId w:val="20"/>
        </w:numPr>
        <w:ind w:left="426" w:hanging="426"/>
        <w:jc w:val="both"/>
      </w:pPr>
      <w:r>
        <w:t xml:space="preserve">Oxford residents and visitors were surveyed in the context of the strategy preparation. </w:t>
      </w:r>
      <w:r w:rsidR="006207C7">
        <w:t>An EV survey in March/April 2022 had over 500 responses.</w:t>
      </w:r>
      <w:r>
        <w:t xml:space="preserve"> These have been considered and incorporated into the final strategy proposal. </w:t>
      </w:r>
      <w:r w:rsidR="006207C7">
        <w:t xml:space="preserve"> </w:t>
      </w:r>
    </w:p>
    <w:p w14:paraId="42998E93" w14:textId="77777777" w:rsidR="006207C7" w:rsidRDefault="004A3B6F" w:rsidP="004A3B6F">
      <w:pPr>
        <w:pStyle w:val="Bulletpoints"/>
        <w:numPr>
          <w:ilvl w:val="0"/>
          <w:numId w:val="0"/>
        </w:numPr>
        <w:ind w:left="426" w:hanging="426"/>
        <w:jc w:val="both"/>
      </w:pPr>
      <w:r>
        <w:tab/>
      </w:r>
      <w:r w:rsidR="00890A1E">
        <w:t>Statutory public</w:t>
      </w:r>
      <w:r w:rsidR="006207C7">
        <w:t xml:space="preserve"> </w:t>
      </w:r>
      <w:r w:rsidR="00890A1E">
        <w:t xml:space="preserve">consultation on this strategy will commence </w:t>
      </w:r>
      <w:r w:rsidR="006207C7">
        <w:t>13</w:t>
      </w:r>
      <w:r w:rsidR="006207C7" w:rsidRPr="006207C7">
        <w:rPr>
          <w:vertAlign w:val="superscript"/>
        </w:rPr>
        <w:t>th</w:t>
      </w:r>
      <w:r w:rsidR="006207C7">
        <w:t xml:space="preserve"> June 2022.  </w:t>
      </w:r>
    </w:p>
    <w:p w14:paraId="17FF63FD" w14:textId="77777777" w:rsidR="004A3B6F" w:rsidRPr="00A834EE" w:rsidRDefault="004A3B6F" w:rsidP="004A3B6F">
      <w:pPr>
        <w:pStyle w:val="ListParagraph"/>
        <w:numPr>
          <w:ilvl w:val="0"/>
          <w:numId w:val="0"/>
        </w:numPr>
        <w:tabs>
          <w:tab w:val="clear" w:pos="426"/>
        </w:tabs>
        <w:spacing w:after="0"/>
        <w:ind w:left="426" w:hanging="426"/>
        <w:contextualSpacing/>
        <w:jc w:val="both"/>
        <w:textAlignment w:val="baseline"/>
        <w:rPr>
          <w:rFonts w:asciiTheme="majorHAnsi" w:hAnsiTheme="majorHAnsi" w:cs="Segoe UI"/>
          <w:color w:val="2F5496"/>
          <w:sz w:val="18"/>
          <w:szCs w:val="18"/>
        </w:rPr>
      </w:pPr>
    </w:p>
    <w:p w14:paraId="3BAB986F" w14:textId="77777777" w:rsidR="004A3B6F" w:rsidRPr="006207C7" w:rsidRDefault="004A3B6F" w:rsidP="004A3B6F">
      <w:pPr>
        <w:pStyle w:val="ListParagraph"/>
        <w:numPr>
          <w:ilvl w:val="0"/>
          <w:numId w:val="20"/>
        </w:numPr>
        <w:ind w:left="426" w:hanging="426"/>
        <w:jc w:val="both"/>
      </w:pPr>
      <w:r>
        <w:t xml:space="preserve">In the creation of </w:t>
      </w:r>
      <w:proofErr w:type="spellStart"/>
      <w:r>
        <w:t>OxEVIS</w:t>
      </w:r>
      <w:proofErr w:type="spellEnd"/>
      <w:r>
        <w:t xml:space="preserve">, the team have consulted widely with city and county colleagues, ODS, ZCOP members, transport providers, EV infrastructure suppliers, and other organisations who will provide or use EV </w:t>
      </w:r>
      <w:r w:rsidRPr="007977DC">
        <w:t>Infrastructure</w:t>
      </w:r>
      <w:r>
        <w:t xml:space="preserve">. </w:t>
      </w:r>
    </w:p>
    <w:p w14:paraId="4103A4A7" w14:textId="77777777" w:rsidR="00DE2D18" w:rsidRPr="00AA4E1F" w:rsidRDefault="00DE2D18" w:rsidP="00CC0FCE">
      <w:pPr>
        <w:pStyle w:val="ListParagraph"/>
        <w:numPr>
          <w:ilvl w:val="0"/>
          <w:numId w:val="0"/>
        </w:numPr>
        <w:ind w:left="426" w:hanging="426"/>
        <w:rPr>
          <w:highlight w:val="yellow"/>
        </w:rPr>
      </w:pPr>
    </w:p>
    <w:p w14:paraId="43D07BB3" w14:textId="77777777" w:rsidR="00DE2D18" w:rsidRPr="004A2F10" w:rsidRDefault="00C85B4E" w:rsidP="00CC0FCE">
      <w:pPr>
        <w:pStyle w:val="Bulletpoints"/>
        <w:numPr>
          <w:ilvl w:val="0"/>
          <w:numId w:val="0"/>
        </w:numPr>
        <w:ind w:left="426" w:hanging="426"/>
        <w:jc w:val="both"/>
      </w:pPr>
      <w:r w:rsidRPr="004A2F10">
        <w:rPr>
          <w:b/>
        </w:rPr>
        <w:t>H</w:t>
      </w:r>
      <w:r w:rsidR="00E87F7A" w:rsidRPr="004A2F10">
        <w:rPr>
          <w:b/>
        </w:rPr>
        <w:t xml:space="preserve">ealth and </w:t>
      </w:r>
      <w:r w:rsidR="00DE2D18" w:rsidRPr="004A2F10">
        <w:rPr>
          <w:b/>
        </w:rPr>
        <w:t>S</w:t>
      </w:r>
      <w:r w:rsidR="00E87F7A" w:rsidRPr="004A2F10">
        <w:rPr>
          <w:b/>
        </w:rPr>
        <w:t>afety</w:t>
      </w:r>
      <w:r w:rsidR="00F25F85">
        <w:t xml:space="preserve">. </w:t>
      </w:r>
    </w:p>
    <w:p w14:paraId="3026647C" w14:textId="77777777" w:rsidR="0040736F" w:rsidRPr="004A2F10" w:rsidRDefault="00DE2D18" w:rsidP="00CC0FCE">
      <w:pPr>
        <w:pStyle w:val="ListParagraph"/>
        <w:numPr>
          <w:ilvl w:val="0"/>
          <w:numId w:val="20"/>
        </w:numPr>
        <w:ind w:left="426" w:hanging="426"/>
        <w:jc w:val="both"/>
      </w:pPr>
      <w:r w:rsidRPr="004A2F10">
        <w:t>Projects will be managed by experienced staff in EV construction and health and safety requirements.</w:t>
      </w:r>
    </w:p>
    <w:p w14:paraId="4BE9B673" w14:textId="77777777" w:rsidR="00975A1C" w:rsidRPr="00134EDC" w:rsidRDefault="00975A1C" w:rsidP="00CC0FCE">
      <w:pPr>
        <w:pStyle w:val="ListParagraph"/>
        <w:numPr>
          <w:ilvl w:val="0"/>
          <w:numId w:val="0"/>
        </w:numPr>
        <w:spacing w:after="0"/>
        <w:ind w:left="426" w:hanging="426"/>
        <w:contextualSpacing/>
        <w:jc w:val="both"/>
      </w:pPr>
    </w:p>
    <w:p w14:paraId="6009259A" w14:textId="77777777" w:rsidR="002329CF" w:rsidRPr="00C26A32" w:rsidRDefault="002329CF" w:rsidP="00CC0FCE">
      <w:pPr>
        <w:pStyle w:val="Heading1"/>
        <w:ind w:left="426" w:hanging="426"/>
        <w:jc w:val="both"/>
      </w:pPr>
      <w:r w:rsidRPr="00C26A32">
        <w:t xml:space="preserve">Equalities impact </w:t>
      </w:r>
    </w:p>
    <w:p w14:paraId="59F47E41" w14:textId="77777777" w:rsidR="002329CF" w:rsidRDefault="00BF393B" w:rsidP="00CC0FCE">
      <w:pPr>
        <w:pStyle w:val="ListParagraph"/>
        <w:numPr>
          <w:ilvl w:val="0"/>
          <w:numId w:val="20"/>
        </w:numPr>
        <w:ind w:left="426" w:hanging="426"/>
        <w:jc w:val="both"/>
      </w:pPr>
      <w:r w:rsidRPr="009C4D2E">
        <w:t>There are no adverse impacts on any part of the community only positive ones</w:t>
      </w:r>
      <w:r w:rsidR="009721B6" w:rsidRPr="009C4D2E">
        <w:t xml:space="preserve">. </w:t>
      </w:r>
      <w:proofErr w:type="spellStart"/>
      <w:r w:rsidR="00EB5ED8">
        <w:t>OxEVIS</w:t>
      </w:r>
      <w:proofErr w:type="spellEnd"/>
      <w:r w:rsidR="00160D3F">
        <w:t xml:space="preserve"> </w:t>
      </w:r>
      <w:r w:rsidR="00735E2A">
        <w:t>provides a framework to support</w:t>
      </w:r>
      <w:r w:rsidR="00160D3F">
        <w:t xml:space="preserve"> equitabili</w:t>
      </w:r>
      <w:r w:rsidR="00EB5ED8">
        <w:t xml:space="preserve">ty </w:t>
      </w:r>
      <w:r w:rsidR="00735E2A">
        <w:t>of EV Infrastructure across</w:t>
      </w:r>
      <w:r w:rsidR="00EB5ED8">
        <w:t xml:space="preserve"> the city. More details are set out in Appendix 3 the Equality Impact </w:t>
      </w:r>
      <w:r w:rsidR="00F109C1">
        <w:t>Assessment</w:t>
      </w:r>
      <w:r w:rsidR="00EB5ED8">
        <w:t>.</w:t>
      </w:r>
    </w:p>
    <w:p w14:paraId="139C6061" w14:textId="77777777" w:rsidR="009C4D2E" w:rsidRPr="001356F1" w:rsidRDefault="009C4D2E" w:rsidP="009F0F75">
      <w:pPr>
        <w:pStyle w:val="ListParagraph"/>
        <w:numPr>
          <w:ilvl w:val="0"/>
          <w:numId w:val="0"/>
        </w:numPr>
        <w:ind w:left="36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879E6C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2A17C4"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6DEB2AF" w14:textId="77777777" w:rsidR="00E87F7A" w:rsidRPr="001356F1" w:rsidRDefault="00BF393B" w:rsidP="00A46E98">
            <w:r>
              <w:t>Kristina Mould</w:t>
            </w:r>
          </w:p>
        </w:tc>
      </w:tr>
      <w:tr w:rsidR="00DF093E" w:rsidRPr="001356F1" w14:paraId="4DBA187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79715D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A2EBA9E" w14:textId="77777777" w:rsidR="00E87F7A" w:rsidRPr="001356F1" w:rsidRDefault="00BF393B" w:rsidP="00A46E98">
            <w:r>
              <w:t>Capital Programme Project Manager</w:t>
            </w:r>
          </w:p>
        </w:tc>
      </w:tr>
      <w:tr w:rsidR="00DF093E" w:rsidRPr="001356F1" w14:paraId="46D33FD7" w14:textId="77777777" w:rsidTr="00A46E98">
        <w:trPr>
          <w:cantSplit/>
          <w:trHeight w:val="396"/>
        </w:trPr>
        <w:tc>
          <w:tcPr>
            <w:tcW w:w="3969" w:type="dxa"/>
            <w:tcBorders>
              <w:top w:val="nil"/>
              <w:left w:val="single" w:sz="8" w:space="0" w:color="000000"/>
              <w:bottom w:val="nil"/>
              <w:right w:val="nil"/>
            </w:tcBorders>
            <w:shd w:val="clear" w:color="auto" w:fill="auto"/>
          </w:tcPr>
          <w:p w14:paraId="774A4C1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85743DC" w14:textId="77777777" w:rsidR="00E87F7A" w:rsidRPr="001356F1" w:rsidRDefault="00BF393B" w:rsidP="00A46E98">
            <w:r>
              <w:t>Environment Sustainability</w:t>
            </w:r>
          </w:p>
        </w:tc>
      </w:tr>
      <w:tr w:rsidR="00DF093E" w:rsidRPr="001356F1" w14:paraId="52F547C0" w14:textId="77777777" w:rsidTr="00A46E98">
        <w:trPr>
          <w:cantSplit/>
          <w:trHeight w:val="396"/>
        </w:trPr>
        <w:tc>
          <w:tcPr>
            <w:tcW w:w="3969" w:type="dxa"/>
            <w:tcBorders>
              <w:top w:val="nil"/>
              <w:left w:val="single" w:sz="8" w:space="0" w:color="000000"/>
              <w:bottom w:val="nil"/>
              <w:right w:val="nil"/>
            </w:tcBorders>
            <w:shd w:val="clear" w:color="auto" w:fill="auto"/>
          </w:tcPr>
          <w:p w14:paraId="3144EAC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BEECB2D" w14:textId="77777777" w:rsidR="00E87F7A" w:rsidRPr="001356F1" w:rsidRDefault="00E87F7A" w:rsidP="00A46E98">
            <w:r w:rsidRPr="001356F1">
              <w:t xml:space="preserve">01865 </w:t>
            </w:r>
            <w:r w:rsidR="00BF393B">
              <w:t>252082</w:t>
            </w:r>
          </w:p>
        </w:tc>
      </w:tr>
      <w:tr w:rsidR="005570B5" w:rsidRPr="001356F1" w14:paraId="163CE5C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6CE78C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9FB3C15" w14:textId="77777777" w:rsidR="00E87F7A" w:rsidRPr="001356F1" w:rsidRDefault="00BF393B" w:rsidP="00A46E98">
            <w:pPr>
              <w:rPr>
                <w:rStyle w:val="Hyperlink"/>
                <w:color w:val="000000"/>
              </w:rPr>
            </w:pPr>
            <w:r>
              <w:rPr>
                <w:rStyle w:val="Hyperlink"/>
                <w:color w:val="000000"/>
              </w:rPr>
              <w:t>kmould@oxford.gov.uk</w:t>
            </w:r>
          </w:p>
        </w:tc>
      </w:tr>
    </w:tbl>
    <w:p w14:paraId="39477EDF"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8625"/>
      </w:tblGrid>
      <w:tr w:rsidR="00DF093E" w:rsidRPr="001356F1" w14:paraId="1DDCEC1E" w14:textId="77777777" w:rsidTr="006A5902">
        <w:tc>
          <w:tcPr>
            <w:tcW w:w="8949" w:type="dxa"/>
            <w:gridSpan w:val="2"/>
            <w:tcBorders>
              <w:top w:val="single" w:sz="4" w:space="0" w:color="auto"/>
              <w:left w:val="single" w:sz="4" w:space="0" w:color="auto"/>
              <w:bottom w:val="single" w:sz="8" w:space="0" w:color="000000"/>
              <w:right w:val="single" w:sz="4" w:space="0" w:color="auto"/>
            </w:tcBorders>
            <w:shd w:val="clear" w:color="auto" w:fill="auto"/>
          </w:tcPr>
          <w:p w14:paraId="06DB15B8" w14:textId="77777777" w:rsidR="0093067A" w:rsidRPr="001356F1" w:rsidRDefault="00182B81" w:rsidP="00F41AC1">
            <w:r w:rsidRPr="001356F1">
              <w:rPr>
                <w:rStyle w:val="Firstpagetablebold"/>
              </w:rPr>
              <w:t xml:space="preserve">Background Papers: </w:t>
            </w:r>
          </w:p>
        </w:tc>
      </w:tr>
      <w:tr w:rsidR="00DF093E" w:rsidRPr="001356F1" w14:paraId="53DFDD2E" w14:textId="77777777" w:rsidTr="006A5902">
        <w:tc>
          <w:tcPr>
            <w:tcW w:w="324" w:type="dxa"/>
            <w:tcBorders>
              <w:top w:val="single" w:sz="8" w:space="0" w:color="000000"/>
              <w:left w:val="single" w:sz="8" w:space="0" w:color="000000"/>
              <w:bottom w:val="nil"/>
              <w:right w:val="nil"/>
            </w:tcBorders>
            <w:shd w:val="clear" w:color="auto" w:fill="auto"/>
          </w:tcPr>
          <w:p w14:paraId="3F5AFE2F" w14:textId="77777777" w:rsidR="0093067A" w:rsidRPr="001356F1" w:rsidRDefault="00182B81" w:rsidP="00F41AC1">
            <w:r w:rsidRPr="001356F1">
              <w:t>1</w:t>
            </w:r>
          </w:p>
        </w:tc>
        <w:tc>
          <w:tcPr>
            <w:tcW w:w="8625" w:type="dxa"/>
            <w:tcBorders>
              <w:top w:val="single" w:sz="8" w:space="0" w:color="000000"/>
              <w:left w:val="nil"/>
              <w:bottom w:val="nil"/>
              <w:right w:val="single" w:sz="8" w:space="0" w:color="000000"/>
            </w:tcBorders>
          </w:tcPr>
          <w:p w14:paraId="20D62F43" w14:textId="77777777" w:rsidR="0093067A" w:rsidRPr="001356F1" w:rsidRDefault="006A5902" w:rsidP="006A5902">
            <w:pPr>
              <w:shd w:val="clear" w:color="auto" w:fill="FFFFFF"/>
              <w:spacing w:after="0"/>
            </w:pPr>
            <w:hyperlink r:id="rId13" w:history="1">
              <w:r w:rsidR="009722F3" w:rsidRPr="006400CB">
                <w:rPr>
                  <w:rStyle w:val="Hyperlink"/>
                  <w:sz w:val="36"/>
                  <w:szCs w:val="36"/>
                  <w:vertAlign w:val="superscript"/>
                </w:rPr>
                <w:t>https://www.oxford.gov.uk/downloads/file/7685/zero_carbon_oxford_partnership_roadmap_and_action_plan_-_summary</w:t>
              </w:r>
            </w:hyperlink>
            <w:bookmarkStart w:id="0" w:name="_GoBack"/>
            <w:bookmarkEnd w:id="0"/>
          </w:p>
        </w:tc>
      </w:tr>
      <w:tr w:rsidR="00DF093E" w:rsidRPr="001356F1" w14:paraId="5D224923" w14:textId="77777777" w:rsidTr="006A5902">
        <w:tc>
          <w:tcPr>
            <w:tcW w:w="324" w:type="dxa"/>
            <w:tcBorders>
              <w:top w:val="nil"/>
              <w:left w:val="single" w:sz="8" w:space="0" w:color="000000"/>
              <w:bottom w:val="single" w:sz="8" w:space="0" w:color="000000"/>
              <w:right w:val="nil"/>
            </w:tcBorders>
            <w:shd w:val="clear" w:color="auto" w:fill="auto"/>
          </w:tcPr>
          <w:p w14:paraId="4E34FE42" w14:textId="77777777" w:rsidR="0093067A" w:rsidRPr="001356F1" w:rsidRDefault="00182B81" w:rsidP="00F41AC1">
            <w:r w:rsidRPr="001356F1">
              <w:t>2</w:t>
            </w:r>
          </w:p>
        </w:tc>
        <w:tc>
          <w:tcPr>
            <w:tcW w:w="8625" w:type="dxa"/>
            <w:tcBorders>
              <w:top w:val="nil"/>
              <w:left w:val="nil"/>
              <w:bottom w:val="single" w:sz="8" w:space="0" w:color="000000"/>
              <w:right w:val="single" w:sz="8" w:space="0" w:color="000000"/>
            </w:tcBorders>
          </w:tcPr>
          <w:p w14:paraId="620B0DEE" w14:textId="16630688" w:rsidR="0093067A" w:rsidRPr="001356F1" w:rsidRDefault="00C1104C" w:rsidP="00F41AC1">
            <w:r>
              <w:t xml:space="preserve">Report to Cabinet – 15 June 2022: </w:t>
            </w:r>
            <w:hyperlink r:id="rId14" w:history="1">
              <w:r w:rsidRPr="00C1104C">
                <w:rPr>
                  <w:rStyle w:val="Hyperlink"/>
                </w:rPr>
                <w:t>LEVI Grant EV Infrastructure Project</w:t>
              </w:r>
            </w:hyperlink>
          </w:p>
        </w:tc>
      </w:tr>
    </w:tbl>
    <w:p w14:paraId="5DD6B192" w14:textId="77777777" w:rsidR="00CE4C87" w:rsidRDefault="00CE4C87" w:rsidP="0093067A"/>
    <w:sectPr w:rsidR="00CE4C87" w:rsidSect="0025178F">
      <w:footerReference w:type="even" r:id="rId15"/>
      <w:headerReference w:type="first" r:id="rId16"/>
      <w:pgSz w:w="11906" w:h="16838" w:code="9"/>
      <w:pgMar w:top="1134" w:right="1134" w:bottom="1134"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99BB2" w14:textId="77777777" w:rsidR="00D40AD3" w:rsidRDefault="00D40AD3" w:rsidP="004A6D2F">
      <w:r>
        <w:separator/>
      </w:r>
    </w:p>
  </w:endnote>
  <w:endnote w:type="continuationSeparator" w:id="0">
    <w:p w14:paraId="68E993D6" w14:textId="77777777" w:rsidR="00D40AD3" w:rsidRDefault="00D40AD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6E7E" w14:textId="77777777" w:rsidR="0082578C" w:rsidRDefault="0082578C" w:rsidP="004A6D2F">
    <w:pPr>
      <w:pStyle w:val="Footer"/>
    </w:pPr>
    <w:r>
      <w:t>Do not use a footer or page numbers.</w:t>
    </w:r>
  </w:p>
  <w:p w14:paraId="32C1A09B" w14:textId="77777777" w:rsidR="0082578C" w:rsidRDefault="0082578C" w:rsidP="004A6D2F">
    <w:pPr>
      <w:pStyle w:val="Footer"/>
    </w:pPr>
  </w:p>
  <w:p w14:paraId="493B2310" w14:textId="77777777" w:rsidR="0082578C" w:rsidRDefault="0082578C"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E1C14" w14:textId="77777777" w:rsidR="00D40AD3" w:rsidRDefault="00D40AD3" w:rsidP="004A6D2F">
      <w:r>
        <w:separator/>
      </w:r>
    </w:p>
  </w:footnote>
  <w:footnote w:type="continuationSeparator" w:id="0">
    <w:p w14:paraId="6D8ABAF3" w14:textId="77777777" w:rsidR="00D40AD3" w:rsidRDefault="00D40AD3" w:rsidP="004A6D2F">
      <w:r>
        <w:continuationSeparator/>
      </w:r>
    </w:p>
  </w:footnote>
  <w:footnote w:id="1">
    <w:p w14:paraId="1567C7F9" w14:textId="77777777" w:rsidR="0082578C" w:rsidRDefault="0082578C" w:rsidP="00EE07DC">
      <w:pPr>
        <w:pStyle w:val="FootnoteText"/>
      </w:pPr>
      <w:r>
        <w:rPr>
          <w:rStyle w:val="FootnoteReference"/>
        </w:rPr>
        <w:footnoteRef/>
      </w:r>
      <w:r>
        <w:t xml:space="preserve"> Survey gained 510 responses and was open to anyone who lives, works or visits the City. Survey open between April -  May 2022</w:t>
      </w:r>
    </w:p>
  </w:footnote>
  <w:footnote w:id="2">
    <w:p w14:paraId="496F5F1E" w14:textId="77777777" w:rsidR="0082578C" w:rsidRDefault="0082578C" w:rsidP="000D347C">
      <w:pPr>
        <w:pStyle w:val="FootnoteText"/>
      </w:pPr>
      <w:r>
        <w:rPr>
          <w:rStyle w:val="FootnoteReference"/>
        </w:rPr>
        <w:footnoteRef/>
      </w:r>
      <w:r>
        <w:t xml:space="preserve"> Figures based on formulae and ratios from the </w:t>
      </w:r>
      <w:r w:rsidRPr="002B191E">
        <w:t xml:space="preserve">Intergovernmental Panel on Climate Change (IPCC) is the United Nations body for assessing the science related to climate change </w:t>
      </w:r>
      <w:r>
        <w:t xml:space="preserve">and the </w:t>
      </w:r>
      <w:r w:rsidRPr="002B191E">
        <w:t>International Council on Clean Transportation (ICCT) is an independent non</w:t>
      </w:r>
      <w:r>
        <w:t>-</w:t>
      </w:r>
      <w:r w:rsidRPr="002B191E">
        <w:t>profit organization to provide research scientific analysis to environmental regulators.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3DA3" w14:textId="77777777" w:rsidR="0082578C" w:rsidRDefault="0082578C" w:rsidP="00D5547E">
    <w:pPr>
      <w:pStyle w:val="Header"/>
      <w:jc w:val="right"/>
    </w:pPr>
    <w:r>
      <w:rPr>
        <w:noProof/>
      </w:rPr>
      <w:drawing>
        <wp:inline distT="0" distB="0" distL="0" distR="0" wp14:anchorId="47C710B1" wp14:editId="3AD841F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5F7FF4"/>
    <w:multiLevelType w:val="hybridMultilevel"/>
    <w:tmpl w:val="37761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801DE"/>
    <w:multiLevelType w:val="hybridMultilevel"/>
    <w:tmpl w:val="8AB611B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52115D"/>
    <w:multiLevelType w:val="multilevel"/>
    <w:tmpl w:val="0D2EE5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2F4ADF"/>
    <w:multiLevelType w:val="multilevel"/>
    <w:tmpl w:val="2E20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B36CB"/>
    <w:multiLevelType w:val="multilevel"/>
    <w:tmpl w:val="0D2EE5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0646F74"/>
    <w:multiLevelType w:val="hybridMultilevel"/>
    <w:tmpl w:val="D6A03B92"/>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FBF068F"/>
    <w:multiLevelType w:val="multilevel"/>
    <w:tmpl w:val="790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52FE8"/>
    <w:multiLevelType w:val="hybridMultilevel"/>
    <w:tmpl w:val="F7923FD4"/>
    <w:lvl w:ilvl="0" w:tplc="3CEC86AA">
      <w:start w:val="1"/>
      <w:numFmt w:val="bullet"/>
      <w:lvlText w:val=""/>
      <w:lvlJc w:val="left"/>
      <w:pPr>
        <w:ind w:left="360" w:hanging="360"/>
      </w:pPr>
      <w:rPr>
        <w:rFonts w:ascii="Symbol" w:hAnsi="Symbol" w:hint="default"/>
        <w:color w:val="000000" w:themeColor="text1"/>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0854DB"/>
    <w:multiLevelType w:val="hybridMultilevel"/>
    <w:tmpl w:val="4E569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4F5F91"/>
    <w:multiLevelType w:val="hybridMultilevel"/>
    <w:tmpl w:val="2EB4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DA301F"/>
    <w:multiLevelType w:val="hybridMultilevel"/>
    <w:tmpl w:val="377619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1080" w:hanging="360"/>
        </w:pPr>
        <w:rPr>
          <w:rFonts w:ascii="Arial" w:hAnsi="Arial"/>
          <w:color w:val="000000"/>
          <w:sz w:val="24"/>
        </w:r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start w:val="1"/>
        <w:numFmt w:val="lowerLetter"/>
        <w:lvlText w:val="%8."/>
        <w:lvlJc w:val="left"/>
        <w:pPr>
          <w:ind w:left="6120" w:hanging="360"/>
        </w:pPr>
      </w:lvl>
    </w:lvlOverride>
    <w:lvlOverride w:ilvl="8">
      <w:lvl w:ilvl="8">
        <w:start w:val="1"/>
        <w:numFmt w:val="lowerRoman"/>
        <w:lvlText w:val="%9."/>
        <w:lvlJc w:val="right"/>
        <w:pPr>
          <w:ind w:left="6840" w:hanging="180"/>
        </w:pPr>
      </w:lvl>
    </w:lvlOverride>
  </w:num>
  <w:num w:numId="3">
    <w:abstractNumId w:val="5"/>
  </w:num>
  <w:num w:numId="4">
    <w:abstractNumId w:val="1"/>
  </w:num>
  <w:num w:numId="5">
    <w:abstractNumId w:val="13"/>
  </w:num>
  <w:num w:numId="6">
    <w:abstractNumId w:val="9"/>
  </w:num>
  <w:num w:numId="7">
    <w:abstractNumId w:val="6"/>
  </w:num>
  <w:num w:numId="8">
    <w:abstractNumId w:val="1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9">
    <w:abstractNumId w:val="16"/>
  </w:num>
  <w:num w:numId="10">
    <w:abstractNumId w:val="8"/>
  </w:num>
  <w:num w:numId="11">
    <w:abstractNumId w:val="7"/>
  </w:num>
  <w:num w:numId="12">
    <w:abstractNumId w:val="4"/>
  </w:num>
  <w:num w:numId="13">
    <w:abstractNumId w:val="12"/>
  </w:num>
  <w:num w:numId="14">
    <w:abstractNumId w:val="3"/>
  </w:num>
  <w:num w:numId="15">
    <w:abstractNumId w:val="14"/>
  </w:num>
  <w:num w:numId="16">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7">
    <w:abstractNumId w:val="1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8">
    <w:abstractNumId w:val="10"/>
  </w:num>
  <w:num w:numId="19">
    <w:abstractNumId w:val="1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0">
    <w:abstractNumId w:val="15"/>
  </w:num>
  <w:num w:numId="21">
    <w:abstractNumId w:val="11"/>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71B6"/>
    <w:rsid w:val="000314D7"/>
    <w:rsid w:val="00034054"/>
    <w:rsid w:val="00043088"/>
    <w:rsid w:val="00045F8B"/>
    <w:rsid w:val="00046D2B"/>
    <w:rsid w:val="00053A24"/>
    <w:rsid w:val="00056263"/>
    <w:rsid w:val="00056CE4"/>
    <w:rsid w:val="00064D8A"/>
    <w:rsid w:val="00064F82"/>
    <w:rsid w:val="00066510"/>
    <w:rsid w:val="00066605"/>
    <w:rsid w:val="00077523"/>
    <w:rsid w:val="000B01CB"/>
    <w:rsid w:val="000B1DFC"/>
    <w:rsid w:val="000C089F"/>
    <w:rsid w:val="000C3928"/>
    <w:rsid w:val="000C539F"/>
    <w:rsid w:val="000C5E8E"/>
    <w:rsid w:val="000C705F"/>
    <w:rsid w:val="000D00D2"/>
    <w:rsid w:val="000D347C"/>
    <w:rsid w:val="000E5803"/>
    <w:rsid w:val="000F3179"/>
    <w:rsid w:val="000F4751"/>
    <w:rsid w:val="0010524C"/>
    <w:rsid w:val="00111827"/>
    <w:rsid w:val="00111FB1"/>
    <w:rsid w:val="00113418"/>
    <w:rsid w:val="001253D9"/>
    <w:rsid w:val="00131EF7"/>
    <w:rsid w:val="001356F1"/>
    <w:rsid w:val="00136994"/>
    <w:rsid w:val="0014128E"/>
    <w:rsid w:val="00150EBE"/>
    <w:rsid w:val="00151888"/>
    <w:rsid w:val="00160D3F"/>
    <w:rsid w:val="00170A2D"/>
    <w:rsid w:val="001808BC"/>
    <w:rsid w:val="00182B81"/>
    <w:rsid w:val="001833E3"/>
    <w:rsid w:val="0018619D"/>
    <w:rsid w:val="001A011E"/>
    <w:rsid w:val="001A066A"/>
    <w:rsid w:val="001A13E6"/>
    <w:rsid w:val="001A5731"/>
    <w:rsid w:val="001B42C3"/>
    <w:rsid w:val="001C259D"/>
    <w:rsid w:val="001C5D5E"/>
    <w:rsid w:val="001D0908"/>
    <w:rsid w:val="001D678D"/>
    <w:rsid w:val="001E03F8"/>
    <w:rsid w:val="001E1678"/>
    <w:rsid w:val="001E2055"/>
    <w:rsid w:val="001E3376"/>
    <w:rsid w:val="00203AF2"/>
    <w:rsid w:val="002069B3"/>
    <w:rsid w:val="0021564F"/>
    <w:rsid w:val="002162CA"/>
    <w:rsid w:val="0021658A"/>
    <w:rsid w:val="002329CF"/>
    <w:rsid w:val="00232F5B"/>
    <w:rsid w:val="00242392"/>
    <w:rsid w:val="00242913"/>
    <w:rsid w:val="00242ADC"/>
    <w:rsid w:val="00247137"/>
    <w:rsid w:val="00247C29"/>
    <w:rsid w:val="0025178F"/>
    <w:rsid w:val="002533A7"/>
    <w:rsid w:val="00260467"/>
    <w:rsid w:val="00263EA3"/>
    <w:rsid w:val="002705EF"/>
    <w:rsid w:val="00274194"/>
    <w:rsid w:val="00284F85"/>
    <w:rsid w:val="00286627"/>
    <w:rsid w:val="002870C3"/>
    <w:rsid w:val="00287277"/>
    <w:rsid w:val="00290915"/>
    <w:rsid w:val="002918B1"/>
    <w:rsid w:val="00293880"/>
    <w:rsid w:val="00294A25"/>
    <w:rsid w:val="0029591B"/>
    <w:rsid w:val="002974DE"/>
    <w:rsid w:val="002A22E2"/>
    <w:rsid w:val="002A3251"/>
    <w:rsid w:val="002B5C79"/>
    <w:rsid w:val="002B6836"/>
    <w:rsid w:val="002C20E3"/>
    <w:rsid w:val="002C64F7"/>
    <w:rsid w:val="002C6883"/>
    <w:rsid w:val="002D0C32"/>
    <w:rsid w:val="002D5F6E"/>
    <w:rsid w:val="002F08C6"/>
    <w:rsid w:val="002F41F2"/>
    <w:rsid w:val="002F53E7"/>
    <w:rsid w:val="003006FB"/>
    <w:rsid w:val="00301BF3"/>
    <w:rsid w:val="0030208D"/>
    <w:rsid w:val="00306813"/>
    <w:rsid w:val="003159CB"/>
    <w:rsid w:val="00323418"/>
    <w:rsid w:val="00325841"/>
    <w:rsid w:val="0032626C"/>
    <w:rsid w:val="0032774D"/>
    <w:rsid w:val="003341EE"/>
    <w:rsid w:val="00334441"/>
    <w:rsid w:val="00334844"/>
    <w:rsid w:val="003357BF"/>
    <w:rsid w:val="00364FAD"/>
    <w:rsid w:val="0036738F"/>
    <w:rsid w:val="0036759C"/>
    <w:rsid w:val="00367AE5"/>
    <w:rsid w:val="00367D71"/>
    <w:rsid w:val="00370DA0"/>
    <w:rsid w:val="003776FE"/>
    <w:rsid w:val="0038150A"/>
    <w:rsid w:val="0039468C"/>
    <w:rsid w:val="003A7F61"/>
    <w:rsid w:val="003B6E75"/>
    <w:rsid w:val="003B7DA1"/>
    <w:rsid w:val="003D0379"/>
    <w:rsid w:val="003D2574"/>
    <w:rsid w:val="003D4AB4"/>
    <w:rsid w:val="003D4C59"/>
    <w:rsid w:val="003E3E09"/>
    <w:rsid w:val="003F4267"/>
    <w:rsid w:val="00404032"/>
    <w:rsid w:val="0040736F"/>
    <w:rsid w:val="004122DB"/>
    <w:rsid w:val="00412C1F"/>
    <w:rsid w:val="00421CB2"/>
    <w:rsid w:val="004268B9"/>
    <w:rsid w:val="00433B96"/>
    <w:rsid w:val="004440F1"/>
    <w:rsid w:val="004456DD"/>
    <w:rsid w:val="00446CDF"/>
    <w:rsid w:val="004521B7"/>
    <w:rsid w:val="004548E0"/>
    <w:rsid w:val="00462AB5"/>
    <w:rsid w:val="004639E5"/>
    <w:rsid w:val="00465EAF"/>
    <w:rsid w:val="00470837"/>
    <w:rsid w:val="004715E0"/>
    <w:rsid w:val="004738C5"/>
    <w:rsid w:val="0047737B"/>
    <w:rsid w:val="00487048"/>
    <w:rsid w:val="00491046"/>
    <w:rsid w:val="00496078"/>
    <w:rsid w:val="004A2AC7"/>
    <w:rsid w:val="004A2F10"/>
    <w:rsid w:val="004A3B6F"/>
    <w:rsid w:val="004A6D2F"/>
    <w:rsid w:val="004A7CA5"/>
    <w:rsid w:val="004B11AE"/>
    <w:rsid w:val="004B3B83"/>
    <w:rsid w:val="004C2887"/>
    <w:rsid w:val="004C570D"/>
    <w:rsid w:val="004D2626"/>
    <w:rsid w:val="004D3A01"/>
    <w:rsid w:val="004D6E26"/>
    <w:rsid w:val="004D77D3"/>
    <w:rsid w:val="004E2959"/>
    <w:rsid w:val="004F20EF"/>
    <w:rsid w:val="004F4F92"/>
    <w:rsid w:val="0050020C"/>
    <w:rsid w:val="0050321C"/>
    <w:rsid w:val="0050706A"/>
    <w:rsid w:val="00507ECC"/>
    <w:rsid w:val="00512000"/>
    <w:rsid w:val="00512DE8"/>
    <w:rsid w:val="00522473"/>
    <w:rsid w:val="0054712D"/>
    <w:rsid w:val="00547EF6"/>
    <w:rsid w:val="005570B5"/>
    <w:rsid w:val="00567E18"/>
    <w:rsid w:val="00575F5F"/>
    <w:rsid w:val="005770FD"/>
    <w:rsid w:val="00581805"/>
    <w:rsid w:val="00581852"/>
    <w:rsid w:val="00583E8F"/>
    <w:rsid w:val="00585F76"/>
    <w:rsid w:val="00590A35"/>
    <w:rsid w:val="00593DE7"/>
    <w:rsid w:val="005A34E4"/>
    <w:rsid w:val="005A6610"/>
    <w:rsid w:val="005B17F2"/>
    <w:rsid w:val="005B505A"/>
    <w:rsid w:val="005B573A"/>
    <w:rsid w:val="005B7FB0"/>
    <w:rsid w:val="005C35A5"/>
    <w:rsid w:val="005C4212"/>
    <w:rsid w:val="005C577C"/>
    <w:rsid w:val="005D0621"/>
    <w:rsid w:val="005D1E27"/>
    <w:rsid w:val="005D2A3E"/>
    <w:rsid w:val="005D46FE"/>
    <w:rsid w:val="005D7F6F"/>
    <w:rsid w:val="005E022E"/>
    <w:rsid w:val="005E5215"/>
    <w:rsid w:val="005F7F7E"/>
    <w:rsid w:val="00603469"/>
    <w:rsid w:val="00614693"/>
    <w:rsid w:val="00615C5B"/>
    <w:rsid w:val="006207C7"/>
    <w:rsid w:val="00623C2F"/>
    <w:rsid w:val="00633578"/>
    <w:rsid w:val="00635121"/>
    <w:rsid w:val="00637068"/>
    <w:rsid w:val="00647896"/>
    <w:rsid w:val="00650811"/>
    <w:rsid w:val="00661D3E"/>
    <w:rsid w:val="006747C4"/>
    <w:rsid w:val="00692627"/>
    <w:rsid w:val="006968E3"/>
    <w:rsid w:val="006969E7"/>
    <w:rsid w:val="006A3643"/>
    <w:rsid w:val="006A50D9"/>
    <w:rsid w:val="006A5902"/>
    <w:rsid w:val="006B10C2"/>
    <w:rsid w:val="006C2A29"/>
    <w:rsid w:val="006C64CF"/>
    <w:rsid w:val="006D17B1"/>
    <w:rsid w:val="006D4752"/>
    <w:rsid w:val="006D5E5B"/>
    <w:rsid w:val="006D708A"/>
    <w:rsid w:val="006E14C1"/>
    <w:rsid w:val="006F0292"/>
    <w:rsid w:val="006F27FA"/>
    <w:rsid w:val="006F416B"/>
    <w:rsid w:val="006F519B"/>
    <w:rsid w:val="006F66DF"/>
    <w:rsid w:val="00702BB4"/>
    <w:rsid w:val="007123CD"/>
    <w:rsid w:val="00713675"/>
    <w:rsid w:val="00715823"/>
    <w:rsid w:val="007253EF"/>
    <w:rsid w:val="00732794"/>
    <w:rsid w:val="00735E2A"/>
    <w:rsid w:val="00737B93"/>
    <w:rsid w:val="00743594"/>
    <w:rsid w:val="00745BF0"/>
    <w:rsid w:val="0074A2CA"/>
    <w:rsid w:val="00751EA3"/>
    <w:rsid w:val="007556F4"/>
    <w:rsid w:val="007615FE"/>
    <w:rsid w:val="0076546E"/>
    <w:rsid w:val="0076655C"/>
    <w:rsid w:val="007742DC"/>
    <w:rsid w:val="00787778"/>
    <w:rsid w:val="00791437"/>
    <w:rsid w:val="007977DC"/>
    <w:rsid w:val="007A0B8F"/>
    <w:rsid w:val="007A2806"/>
    <w:rsid w:val="007A699F"/>
    <w:rsid w:val="007A6EAD"/>
    <w:rsid w:val="007B0C2C"/>
    <w:rsid w:val="007B278E"/>
    <w:rsid w:val="007B2DA1"/>
    <w:rsid w:val="007B5CA2"/>
    <w:rsid w:val="007C4225"/>
    <w:rsid w:val="007C5C23"/>
    <w:rsid w:val="007E2A26"/>
    <w:rsid w:val="007F2348"/>
    <w:rsid w:val="007F4757"/>
    <w:rsid w:val="0080293E"/>
    <w:rsid w:val="00803F07"/>
    <w:rsid w:val="00806547"/>
    <w:rsid w:val="0080749A"/>
    <w:rsid w:val="008134E4"/>
    <w:rsid w:val="00821FB8"/>
    <w:rsid w:val="00822A7F"/>
    <w:rsid w:val="00822ACD"/>
    <w:rsid w:val="0082578C"/>
    <w:rsid w:val="0083536A"/>
    <w:rsid w:val="00855C66"/>
    <w:rsid w:val="008678EB"/>
    <w:rsid w:val="00871EE4"/>
    <w:rsid w:val="00890A1E"/>
    <w:rsid w:val="008954DF"/>
    <w:rsid w:val="008A269D"/>
    <w:rsid w:val="008B2695"/>
    <w:rsid w:val="008B293F"/>
    <w:rsid w:val="008B7371"/>
    <w:rsid w:val="008C4D7C"/>
    <w:rsid w:val="008D146D"/>
    <w:rsid w:val="008D3DDB"/>
    <w:rsid w:val="008D52F3"/>
    <w:rsid w:val="008E1709"/>
    <w:rsid w:val="008F3B04"/>
    <w:rsid w:val="008F573F"/>
    <w:rsid w:val="009034EC"/>
    <w:rsid w:val="0093067A"/>
    <w:rsid w:val="0094196A"/>
    <w:rsid w:val="00941C60"/>
    <w:rsid w:val="00941FD1"/>
    <w:rsid w:val="00946505"/>
    <w:rsid w:val="00966D42"/>
    <w:rsid w:val="00971689"/>
    <w:rsid w:val="0097170F"/>
    <w:rsid w:val="009721B6"/>
    <w:rsid w:val="009722F3"/>
    <w:rsid w:val="00973E90"/>
    <w:rsid w:val="00975A1C"/>
    <w:rsid w:val="00975B07"/>
    <w:rsid w:val="00980B4A"/>
    <w:rsid w:val="0099043E"/>
    <w:rsid w:val="00997D75"/>
    <w:rsid w:val="009A10FD"/>
    <w:rsid w:val="009A2A7F"/>
    <w:rsid w:val="009A673D"/>
    <w:rsid w:val="009B3E8A"/>
    <w:rsid w:val="009C44A1"/>
    <w:rsid w:val="009C4D2E"/>
    <w:rsid w:val="009D1758"/>
    <w:rsid w:val="009E3D0A"/>
    <w:rsid w:val="009E51FC"/>
    <w:rsid w:val="009F0F75"/>
    <w:rsid w:val="009F1D28"/>
    <w:rsid w:val="009F7618"/>
    <w:rsid w:val="00A04D23"/>
    <w:rsid w:val="00A05764"/>
    <w:rsid w:val="00A06766"/>
    <w:rsid w:val="00A06C2E"/>
    <w:rsid w:val="00A13765"/>
    <w:rsid w:val="00A15B27"/>
    <w:rsid w:val="00A17848"/>
    <w:rsid w:val="00A21B12"/>
    <w:rsid w:val="00A23F80"/>
    <w:rsid w:val="00A35B6F"/>
    <w:rsid w:val="00A45663"/>
    <w:rsid w:val="00A46E98"/>
    <w:rsid w:val="00A6352B"/>
    <w:rsid w:val="00A701B5"/>
    <w:rsid w:val="00A714BB"/>
    <w:rsid w:val="00A716EE"/>
    <w:rsid w:val="00A77147"/>
    <w:rsid w:val="00A81736"/>
    <w:rsid w:val="00A913CE"/>
    <w:rsid w:val="00A92D8F"/>
    <w:rsid w:val="00AA3057"/>
    <w:rsid w:val="00AA375A"/>
    <w:rsid w:val="00AA4E1F"/>
    <w:rsid w:val="00AB2988"/>
    <w:rsid w:val="00AB4455"/>
    <w:rsid w:val="00AB7999"/>
    <w:rsid w:val="00AD2025"/>
    <w:rsid w:val="00AD3292"/>
    <w:rsid w:val="00AD4905"/>
    <w:rsid w:val="00AD4A6B"/>
    <w:rsid w:val="00AE1684"/>
    <w:rsid w:val="00AE7AF0"/>
    <w:rsid w:val="00AF2B56"/>
    <w:rsid w:val="00B500CA"/>
    <w:rsid w:val="00B57806"/>
    <w:rsid w:val="00B61097"/>
    <w:rsid w:val="00B613C9"/>
    <w:rsid w:val="00B704D3"/>
    <w:rsid w:val="00B86314"/>
    <w:rsid w:val="00B868EA"/>
    <w:rsid w:val="00B94320"/>
    <w:rsid w:val="00BA1C2E"/>
    <w:rsid w:val="00BA7D81"/>
    <w:rsid w:val="00BB10F1"/>
    <w:rsid w:val="00BC200B"/>
    <w:rsid w:val="00BC4756"/>
    <w:rsid w:val="00BC69A4"/>
    <w:rsid w:val="00BE0680"/>
    <w:rsid w:val="00BE305F"/>
    <w:rsid w:val="00BE7BA3"/>
    <w:rsid w:val="00BF393B"/>
    <w:rsid w:val="00BF5682"/>
    <w:rsid w:val="00BF7B09"/>
    <w:rsid w:val="00C05260"/>
    <w:rsid w:val="00C0624A"/>
    <w:rsid w:val="00C076B9"/>
    <w:rsid w:val="00C1104C"/>
    <w:rsid w:val="00C13356"/>
    <w:rsid w:val="00C155C9"/>
    <w:rsid w:val="00C15669"/>
    <w:rsid w:val="00C20A95"/>
    <w:rsid w:val="00C2692F"/>
    <w:rsid w:val="00C26A32"/>
    <w:rsid w:val="00C31BC3"/>
    <w:rsid w:val="00C3207C"/>
    <w:rsid w:val="00C349CD"/>
    <w:rsid w:val="00C400E1"/>
    <w:rsid w:val="00C41187"/>
    <w:rsid w:val="00C63C31"/>
    <w:rsid w:val="00C757A0"/>
    <w:rsid w:val="00C760DE"/>
    <w:rsid w:val="00C82630"/>
    <w:rsid w:val="00C84D95"/>
    <w:rsid w:val="00C85B4E"/>
    <w:rsid w:val="00C86951"/>
    <w:rsid w:val="00C873EF"/>
    <w:rsid w:val="00C907F7"/>
    <w:rsid w:val="00CA2103"/>
    <w:rsid w:val="00CA303F"/>
    <w:rsid w:val="00CB21E8"/>
    <w:rsid w:val="00CB37AD"/>
    <w:rsid w:val="00CB6A47"/>
    <w:rsid w:val="00CB6B99"/>
    <w:rsid w:val="00CC0FCE"/>
    <w:rsid w:val="00CD7CA6"/>
    <w:rsid w:val="00CE4C87"/>
    <w:rsid w:val="00CE544A"/>
    <w:rsid w:val="00CE606E"/>
    <w:rsid w:val="00D11E1C"/>
    <w:rsid w:val="00D1522C"/>
    <w:rsid w:val="00D160B0"/>
    <w:rsid w:val="00D17D29"/>
    <w:rsid w:val="00D17F94"/>
    <w:rsid w:val="00D223FC"/>
    <w:rsid w:val="00D26D1E"/>
    <w:rsid w:val="00D37103"/>
    <w:rsid w:val="00D40AD3"/>
    <w:rsid w:val="00D451FE"/>
    <w:rsid w:val="00D474CF"/>
    <w:rsid w:val="00D52ECD"/>
    <w:rsid w:val="00D53E13"/>
    <w:rsid w:val="00D5547E"/>
    <w:rsid w:val="00D65F56"/>
    <w:rsid w:val="00D8602D"/>
    <w:rsid w:val="00D860E2"/>
    <w:rsid w:val="00D869A1"/>
    <w:rsid w:val="00D90481"/>
    <w:rsid w:val="00D973C6"/>
    <w:rsid w:val="00DA001F"/>
    <w:rsid w:val="00DA1F3B"/>
    <w:rsid w:val="00DA30E7"/>
    <w:rsid w:val="00DA413F"/>
    <w:rsid w:val="00DA4584"/>
    <w:rsid w:val="00DA614B"/>
    <w:rsid w:val="00DB7AD7"/>
    <w:rsid w:val="00DC3060"/>
    <w:rsid w:val="00DC5234"/>
    <w:rsid w:val="00DE0FB2"/>
    <w:rsid w:val="00DE2D18"/>
    <w:rsid w:val="00DF093E"/>
    <w:rsid w:val="00E01F42"/>
    <w:rsid w:val="00E17EBB"/>
    <w:rsid w:val="00E206D6"/>
    <w:rsid w:val="00E3366E"/>
    <w:rsid w:val="00E352CA"/>
    <w:rsid w:val="00E46692"/>
    <w:rsid w:val="00E52086"/>
    <w:rsid w:val="00E543A6"/>
    <w:rsid w:val="00E60479"/>
    <w:rsid w:val="00E61D73"/>
    <w:rsid w:val="00E64F9E"/>
    <w:rsid w:val="00E73684"/>
    <w:rsid w:val="00E818D6"/>
    <w:rsid w:val="00E87F7A"/>
    <w:rsid w:val="00E94B3E"/>
    <w:rsid w:val="00E96BD7"/>
    <w:rsid w:val="00EA0DB1"/>
    <w:rsid w:val="00EA0EE9"/>
    <w:rsid w:val="00EA1633"/>
    <w:rsid w:val="00EA5A7A"/>
    <w:rsid w:val="00EB5ED8"/>
    <w:rsid w:val="00EC3A9A"/>
    <w:rsid w:val="00ED33AE"/>
    <w:rsid w:val="00ED52CA"/>
    <w:rsid w:val="00ED5860"/>
    <w:rsid w:val="00ED6582"/>
    <w:rsid w:val="00EE07DC"/>
    <w:rsid w:val="00EE35C9"/>
    <w:rsid w:val="00EF28E9"/>
    <w:rsid w:val="00F00C4C"/>
    <w:rsid w:val="00F04815"/>
    <w:rsid w:val="00F05ECA"/>
    <w:rsid w:val="00F109C1"/>
    <w:rsid w:val="00F15B27"/>
    <w:rsid w:val="00F25F85"/>
    <w:rsid w:val="00F26E21"/>
    <w:rsid w:val="00F31E59"/>
    <w:rsid w:val="00F3566E"/>
    <w:rsid w:val="00F375FB"/>
    <w:rsid w:val="00F41AC1"/>
    <w:rsid w:val="00F4367A"/>
    <w:rsid w:val="00F445B1"/>
    <w:rsid w:val="00F45CD4"/>
    <w:rsid w:val="00F46E38"/>
    <w:rsid w:val="00F66DCA"/>
    <w:rsid w:val="00F710CA"/>
    <w:rsid w:val="00F74E1D"/>
    <w:rsid w:val="00F74F53"/>
    <w:rsid w:val="00F7606D"/>
    <w:rsid w:val="00F81670"/>
    <w:rsid w:val="00F82024"/>
    <w:rsid w:val="00F865A3"/>
    <w:rsid w:val="00F90DA0"/>
    <w:rsid w:val="00F95BC9"/>
    <w:rsid w:val="00FA22DB"/>
    <w:rsid w:val="00FA624C"/>
    <w:rsid w:val="00FB3B71"/>
    <w:rsid w:val="00FB79CB"/>
    <w:rsid w:val="00FC47E2"/>
    <w:rsid w:val="00FC68AB"/>
    <w:rsid w:val="00FD0FAC"/>
    <w:rsid w:val="00FD1DFA"/>
    <w:rsid w:val="00FD4966"/>
    <w:rsid w:val="00FE57DC"/>
    <w:rsid w:val="00FF095A"/>
    <w:rsid w:val="00FF31B4"/>
    <w:rsid w:val="26131B9E"/>
    <w:rsid w:val="5018D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F9B9B7"/>
  <w15:docId w15:val="{8397AE57-C1B3-496C-9192-43B201F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Lista viñetas,3 Txt tabla,Viñetas (Inicio Parrafo),Listenabsatz,Paragrafo elenco,Zerrenda-paragrafoa,Numbered Para 1,Dot pt,No Spacing1,List Paragraph Char Char Char,Indicator Text,List Paragraph1,Bullet 1,Bullet Points,MAIN CONTENT,L"/>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Lista viñetas Char,3 Txt tabla Char,Viñetas (Inicio Parrafo) Char,Listenabsatz Char,Paragrafo elenco Char,Zerrenda-paragrafoa Char,Numbered Para 1 Char,Dot pt Char,No Spacing1 Char,List Paragraph Char Char Char Char,Bullet 1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aliases w:val="Footnote Text Char1 Char1,Footnote Text Char Char Char1,Footnote Text Char1 Char Char,Footnote Text Char Char Char Char,Footnote Text Char Char1 Char,Footnote Text Char Char2,Footnote Text Char1,Footnote Text Char Char"/>
    <w:basedOn w:val="Normal"/>
    <w:link w:val="FootnoteTextChar"/>
    <w:unhideWhenUsed/>
    <w:qFormat/>
    <w:rsid w:val="004715E0"/>
    <w:pPr>
      <w:suppressAutoHyphens/>
      <w:autoSpaceDN w:val="0"/>
      <w:spacing w:after="0"/>
      <w:textAlignment w:val="baseline"/>
    </w:pPr>
    <w:rPr>
      <w:rFonts w:ascii="Calibri" w:eastAsia="Calibri" w:hAnsi="Calibri" w:cs="Arial"/>
      <w:color w:val="auto"/>
      <w:sz w:val="20"/>
      <w:szCs w:val="20"/>
      <w:lang w:eastAsia="en-US"/>
    </w:rPr>
  </w:style>
  <w:style w:type="character" w:customStyle="1" w:styleId="FootnoteTextChar">
    <w:name w:val="Footnote Text Char"/>
    <w:aliases w:val="Footnote Text Char1 Char1 Char,Footnote Text Char Char Char1 Char,Footnote Text Char1 Char Char Char,Footnote Text Char Char Char Char Char,Footnote Text Char Char1 Char Char,Footnote Text Char Char2 Char,Footnote Text Char1 Char"/>
    <w:basedOn w:val="DefaultParagraphFont"/>
    <w:link w:val="FootnoteText"/>
    <w:rsid w:val="004715E0"/>
    <w:rPr>
      <w:rFonts w:ascii="Calibri" w:eastAsia="Calibri" w:hAnsi="Calibri" w:cs="Arial"/>
      <w:lang w:eastAsia="en-US"/>
    </w:rPr>
  </w:style>
  <w:style w:type="character" w:customStyle="1" w:styleId="CommentTextChar">
    <w:name w:val="Comment Text Char"/>
    <w:basedOn w:val="DefaultParagraphFont"/>
    <w:link w:val="CommentText"/>
    <w:uiPriority w:val="99"/>
    <w:semiHidden/>
    <w:rsid w:val="0080293E"/>
    <w:rPr>
      <w:color w:val="000000"/>
    </w:rPr>
  </w:style>
  <w:style w:type="character" w:styleId="FootnoteReference">
    <w:name w:val="footnote reference"/>
    <w:aliases w:val="ftref,16 Point,Superscript 6 Point,Ref,de nota al pie"/>
    <w:basedOn w:val="DefaultParagraphFont"/>
    <w:unhideWhenUsed/>
    <w:rsid w:val="002705EF"/>
    <w:rPr>
      <w:vertAlign w:val="superscript"/>
    </w:rPr>
  </w:style>
  <w:style w:type="character" w:styleId="FollowedHyperlink">
    <w:name w:val="FollowedHyperlink"/>
    <w:basedOn w:val="DefaultParagraphFont"/>
    <w:semiHidden/>
    <w:unhideWhenUsed/>
    <w:rsid w:val="00F90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283">
      <w:bodyDiv w:val="1"/>
      <w:marLeft w:val="0"/>
      <w:marRight w:val="0"/>
      <w:marTop w:val="0"/>
      <w:marBottom w:val="0"/>
      <w:divBdr>
        <w:top w:val="none" w:sz="0" w:space="0" w:color="auto"/>
        <w:left w:val="none" w:sz="0" w:space="0" w:color="auto"/>
        <w:bottom w:val="none" w:sz="0" w:space="0" w:color="auto"/>
        <w:right w:val="none" w:sz="0" w:space="0" w:color="auto"/>
      </w:divBdr>
    </w:div>
    <w:div w:id="163128614">
      <w:bodyDiv w:val="1"/>
      <w:marLeft w:val="0"/>
      <w:marRight w:val="0"/>
      <w:marTop w:val="0"/>
      <w:marBottom w:val="0"/>
      <w:divBdr>
        <w:top w:val="none" w:sz="0" w:space="0" w:color="auto"/>
        <w:left w:val="none" w:sz="0" w:space="0" w:color="auto"/>
        <w:bottom w:val="none" w:sz="0" w:space="0" w:color="auto"/>
        <w:right w:val="none" w:sz="0" w:space="0" w:color="auto"/>
      </w:divBdr>
    </w:div>
    <w:div w:id="16720926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178872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11611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5509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214735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0409185">
      <w:bodyDiv w:val="1"/>
      <w:marLeft w:val="0"/>
      <w:marRight w:val="0"/>
      <w:marTop w:val="0"/>
      <w:marBottom w:val="0"/>
      <w:divBdr>
        <w:top w:val="none" w:sz="0" w:space="0" w:color="auto"/>
        <w:left w:val="none" w:sz="0" w:space="0" w:color="auto"/>
        <w:bottom w:val="none" w:sz="0" w:space="0" w:color="auto"/>
        <w:right w:val="none" w:sz="0" w:space="0" w:color="auto"/>
      </w:divBdr>
    </w:div>
    <w:div w:id="1624271273">
      <w:bodyDiv w:val="1"/>
      <w:marLeft w:val="0"/>
      <w:marRight w:val="0"/>
      <w:marTop w:val="0"/>
      <w:marBottom w:val="0"/>
      <w:divBdr>
        <w:top w:val="none" w:sz="0" w:space="0" w:color="auto"/>
        <w:left w:val="none" w:sz="0" w:space="0" w:color="auto"/>
        <w:bottom w:val="none" w:sz="0" w:space="0" w:color="auto"/>
        <w:right w:val="none" w:sz="0" w:space="0" w:color="auto"/>
      </w:divBdr>
    </w:div>
    <w:div w:id="1689793312">
      <w:bodyDiv w:val="1"/>
      <w:marLeft w:val="0"/>
      <w:marRight w:val="0"/>
      <w:marTop w:val="0"/>
      <w:marBottom w:val="0"/>
      <w:divBdr>
        <w:top w:val="none" w:sz="0" w:space="0" w:color="auto"/>
        <w:left w:val="none" w:sz="0" w:space="0" w:color="auto"/>
        <w:bottom w:val="none" w:sz="0" w:space="0" w:color="auto"/>
        <w:right w:val="none" w:sz="0" w:space="0" w:color="auto"/>
      </w:divBdr>
    </w:div>
    <w:div w:id="1949073057">
      <w:bodyDiv w:val="1"/>
      <w:marLeft w:val="0"/>
      <w:marRight w:val="0"/>
      <w:marTop w:val="0"/>
      <w:marBottom w:val="0"/>
      <w:divBdr>
        <w:top w:val="none" w:sz="0" w:space="0" w:color="auto"/>
        <w:left w:val="none" w:sz="0" w:space="0" w:color="auto"/>
        <w:bottom w:val="none" w:sz="0" w:space="0" w:color="auto"/>
        <w:right w:val="none" w:sz="0" w:space="0" w:color="auto"/>
      </w:divBdr>
    </w:div>
    <w:div w:id="19815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downloads/file/7685/zero_carbon_oxford_partnership_roadmap_and_action_plan_-_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ouncil.oxford.gov.uk/documents/s68513/Local%20Electric%20Vehicle%20Infrastructure%20Grant%20and%20Proje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6A05C8F6F864EA13174CA57AF7B56" ma:contentTypeVersion="4" ma:contentTypeDescription="Create a new document." ma:contentTypeScope="" ma:versionID="d3141c17a9f11ec1d1d6cb51583eb031">
  <xsd:schema xmlns:xsd="http://www.w3.org/2001/XMLSchema" xmlns:xs="http://www.w3.org/2001/XMLSchema" xmlns:p="http://schemas.microsoft.com/office/2006/metadata/properties" xmlns:ns2="0fe40de0-22cb-48be-8e9c-3c72f1620ca6" targetNamespace="http://schemas.microsoft.com/office/2006/metadata/properties" ma:root="true" ma:fieldsID="efbabf830a56fcd9b2f6fecb1fce6a0a" ns2:_="">
    <xsd:import namespace="0fe40de0-22cb-48be-8e9c-3c72f1620c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0de0-22cb-48be-8e9c-3c72f162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F003-B422-4AA2-BBCE-256ADD7E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0de0-22cb-48be-8e9c-3c72f162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B0856-D55F-464F-911C-FF77E047235A}">
  <ds:schemaRefs>
    <ds:schemaRef ds:uri="http://schemas.microsoft.com/office/2006/documentManagement/types"/>
    <ds:schemaRef ds:uri="0fe40de0-22cb-48be-8e9c-3c72f1620ca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4.xml><?xml version="1.0" encoding="utf-8"?>
<ds:datastoreItem xmlns:ds="http://schemas.openxmlformats.org/officeDocument/2006/customXml" ds:itemID="{8A47D07F-4E12-499B-92F7-2AEA3B22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87A2602F</Template>
  <TotalTime>22</TotalTime>
  <Pages>8</Pages>
  <Words>2901</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dc:description/>
  <cp:lastModifiedBy>LUND Emma</cp:lastModifiedBy>
  <cp:revision>9</cp:revision>
  <cp:lastPrinted>2015-07-03T13:50:00Z</cp:lastPrinted>
  <dcterms:created xsi:type="dcterms:W3CDTF">2022-06-17T08:54:00Z</dcterms:created>
  <dcterms:modified xsi:type="dcterms:W3CDTF">2022-06-27T09:35:00Z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0x010100F9C6A05C8F6F864EA13174CA57AF7B56</vt:lpwstr>
  </property>
</Properties>
</file>